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7FB5" w14:paraId="664DCD4D" w14:textId="77777777" w:rsidTr="00D072A1">
        <w:trPr>
          <w:trHeight w:val="1408"/>
        </w:trPr>
        <w:tc>
          <w:tcPr>
            <w:tcW w:w="4672" w:type="dxa"/>
          </w:tcPr>
          <w:p w14:paraId="7B93F867" w14:textId="77777777" w:rsidR="00B07FB5" w:rsidRDefault="00B07FB5">
            <w:bookmarkStart w:id="1" w:name="_top"/>
            <w:bookmarkEnd w:id="1"/>
          </w:p>
        </w:tc>
        <w:tc>
          <w:tcPr>
            <w:tcW w:w="4672" w:type="dxa"/>
          </w:tcPr>
          <w:p w14:paraId="4F5261B6" w14:textId="565EF2C3" w:rsidR="00B07FB5" w:rsidRPr="002A728D" w:rsidRDefault="00B07FB5" w:rsidP="00C10301">
            <w:pPr>
              <w:tabs>
                <w:tab w:val="center" w:pos="0"/>
              </w:tabs>
              <w:ind w:firstLine="602"/>
              <w:rPr>
                <w:rFonts w:ascii="Times New Roman" w:hAnsi="Times New Roman"/>
                <w:sz w:val="20"/>
                <w:szCs w:val="20"/>
              </w:rPr>
            </w:pPr>
          </w:p>
          <w:p w14:paraId="267B613B" w14:textId="77777777" w:rsidR="00B07FB5" w:rsidRDefault="00B07FB5"/>
        </w:tc>
      </w:tr>
    </w:tbl>
    <w:p w14:paraId="4D224FF1" w14:textId="4C5CD0C1" w:rsidR="00B07FB5" w:rsidRDefault="00C10301">
      <w:r w:rsidRPr="00C10301">
        <w:rPr>
          <w:rFonts w:ascii="Times New Roman" w:eastAsia="SimSun" w:hAnsi="Times New Roman" w:cs="Times New Roman"/>
          <w:noProof/>
          <w:kern w:val="1"/>
          <w:sz w:val="24"/>
          <w:szCs w:val="24"/>
          <w:lang w:eastAsia="et-EE"/>
        </w:rPr>
        <w:drawing>
          <wp:anchor distT="0" distB="0" distL="114300" distR="114300" simplePos="0" relativeHeight="251661312" behindDoc="0" locked="0" layoutInCell="1" allowOverlap="1" wp14:anchorId="5211CE18" wp14:editId="101C444A">
            <wp:simplePos x="0" y="0"/>
            <wp:positionH relativeFrom="page">
              <wp:posOffset>390525</wp:posOffset>
            </wp:positionH>
            <wp:positionV relativeFrom="margin">
              <wp:align>top</wp:align>
            </wp:positionV>
            <wp:extent cx="2876550" cy="933450"/>
            <wp:effectExtent l="0" t="0" r="0" b="0"/>
            <wp:wrapNone/>
            <wp:docPr id="1" name="Picture 1" descr="Riigi Tugiteenuste Keskus_mono_mv_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igi Tugiteenuste Keskus_mono_mv_vap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1B9C0" w14:textId="77777777" w:rsidR="008474C4" w:rsidRDefault="008474C4" w:rsidP="00BF6083">
      <w:pPr>
        <w:spacing w:after="0"/>
        <w:rPr>
          <w:rFonts w:ascii="Times New Roman" w:hAnsi="Times New Roman" w:cs="Times New Roman"/>
          <w:sz w:val="24"/>
          <w:szCs w:val="24"/>
        </w:rPr>
      </w:pPr>
    </w:p>
    <w:p w14:paraId="6AE11694" w14:textId="77777777" w:rsidR="00D75989" w:rsidRDefault="00D75989" w:rsidP="00BF6083">
      <w:pPr>
        <w:spacing w:after="0"/>
        <w:rPr>
          <w:rFonts w:ascii="Times New Roman" w:hAnsi="Times New Roman" w:cs="Times New Roman"/>
          <w:sz w:val="24"/>
          <w:szCs w:val="24"/>
        </w:rPr>
      </w:pPr>
    </w:p>
    <w:p w14:paraId="3B637CC4" w14:textId="77777777" w:rsidR="00F241A7" w:rsidRDefault="00F241A7" w:rsidP="00BF6083">
      <w:pPr>
        <w:spacing w:after="0"/>
        <w:rPr>
          <w:rFonts w:ascii="Times New Roman" w:hAnsi="Times New Roman" w:cs="Times New Roman"/>
          <w:sz w:val="24"/>
          <w:szCs w:val="24"/>
        </w:rPr>
      </w:pPr>
    </w:p>
    <w:p w14:paraId="2E7D9ED9" w14:textId="77777777" w:rsidR="00D75989" w:rsidRPr="008474C4" w:rsidRDefault="00D75989" w:rsidP="00BF6083">
      <w:pPr>
        <w:spacing w:after="0"/>
        <w:rPr>
          <w:rFonts w:ascii="Times New Roman" w:hAnsi="Times New Roman" w:cs="Times New Roman"/>
          <w:sz w:val="24"/>
          <w:szCs w:val="24"/>
        </w:rPr>
      </w:pPr>
    </w:p>
    <w:tbl>
      <w:tblPr>
        <w:tblStyle w:val="TableGrid"/>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1904"/>
        <w:gridCol w:w="2393"/>
      </w:tblGrid>
      <w:tr w:rsidR="00B608DD" w14:paraId="01BBE920" w14:textId="77777777" w:rsidTr="00995E76">
        <w:trPr>
          <w:gridAfter w:val="1"/>
          <w:wAfter w:w="2410" w:type="dxa"/>
        </w:trPr>
        <w:tc>
          <w:tcPr>
            <w:tcW w:w="5245" w:type="dxa"/>
          </w:tcPr>
          <w:p w14:paraId="181FD57E" w14:textId="31AF5563" w:rsidR="00B608DD" w:rsidRDefault="00E67051" w:rsidP="00BF6083">
            <w:pPr>
              <w:rPr>
                <w:rFonts w:ascii="Times New Roman" w:hAnsi="Times New Roman" w:cs="Times New Roman"/>
                <w:sz w:val="24"/>
                <w:szCs w:val="24"/>
              </w:rPr>
            </w:pPr>
            <w:r w:rsidRPr="008474C4">
              <w:rPr>
                <w:rFonts w:ascii="Times New Roman" w:hAnsi="Times New Roman" w:cs="Times New Roman"/>
                <w:sz w:val="24"/>
                <w:szCs w:val="24"/>
              </w:rPr>
              <w:fldChar w:fldCharType="begin"/>
            </w:r>
            <w:r w:rsidR="006A4575">
              <w:rPr>
                <w:rFonts w:ascii="Times New Roman" w:hAnsi="Times New Roman" w:cs="Times New Roman"/>
                <w:sz w:val="24"/>
                <w:szCs w:val="24"/>
              </w:rPr>
              <w:instrText xml:space="preserve"> delta_recipientName_1  \* MERGEFORMAT</w:instrText>
            </w:r>
            <w:r w:rsidRPr="008474C4">
              <w:rPr>
                <w:rFonts w:ascii="Times New Roman" w:hAnsi="Times New Roman" w:cs="Times New Roman"/>
                <w:sz w:val="24"/>
                <w:szCs w:val="24"/>
              </w:rPr>
              <w:fldChar w:fldCharType="separate"/>
            </w:r>
            <w:r w:rsidR="006A4575">
              <w:rPr>
                <w:rFonts w:ascii="Times New Roman" w:hAnsi="Times New Roman" w:cs="Times New Roman"/>
                <w:sz w:val="24"/>
                <w:szCs w:val="24"/>
              </w:rPr>
              <w:t>Sihtasutus Alutagusemaa</w:t>
            </w:r>
            <w:r w:rsidRPr="008474C4">
              <w:rPr>
                <w:rFonts w:ascii="Times New Roman" w:hAnsi="Times New Roman" w:cs="Times New Roman"/>
                <w:sz w:val="24"/>
                <w:szCs w:val="24"/>
              </w:rPr>
              <w:fldChar w:fldCharType="end"/>
            </w:r>
          </w:p>
        </w:tc>
        <w:tc>
          <w:tcPr>
            <w:tcW w:w="1848" w:type="dxa"/>
          </w:tcPr>
          <w:p w14:paraId="184DF4FA" w14:textId="77777777" w:rsidR="00B608DD" w:rsidRDefault="00B608DD" w:rsidP="0004169D">
            <w:pPr>
              <w:ind w:left="-107"/>
              <w:rPr>
                <w:rFonts w:ascii="Times New Roman" w:hAnsi="Times New Roman" w:cs="Times New Roman"/>
                <w:sz w:val="24"/>
                <w:szCs w:val="24"/>
              </w:rPr>
            </w:pPr>
            <w:r>
              <w:rPr>
                <w:rFonts w:ascii="Times New Roman" w:hAnsi="Times New Roman" w:cs="Times New Roman"/>
                <w:sz w:val="24"/>
                <w:szCs w:val="24"/>
              </w:rPr>
              <w:t xml:space="preserve">  </w:t>
            </w:r>
          </w:p>
        </w:tc>
      </w:tr>
      <w:tr w:rsidR="0073668B" w14:paraId="7287F537" w14:textId="77777777" w:rsidTr="00995E76">
        <w:trPr>
          <w:trHeight w:val="297"/>
        </w:trPr>
        <w:tc>
          <w:tcPr>
            <w:tcW w:w="5245" w:type="dxa"/>
          </w:tcPr>
          <w:p w14:paraId="20EB1CFC" w14:textId="6FCCFE70" w:rsidR="0073668B" w:rsidRDefault="00E67051" w:rsidP="00BF6083">
            <w:pPr>
              <w:rPr>
                <w:rFonts w:ascii="Times New Roman" w:hAnsi="Times New Roman" w:cs="Times New Roman"/>
                <w:sz w:val="24"/>
                <w:szCs w:val="24"/>
              </w:rPr>
            </w:pPr>
            <w:r w:rsidRPr="008474C4">
              <w:rPr>
                <w:rFonts w:ascii="Times New Roman" w:hAnsi="Times New Roman" w:cs="Times New Roman"/>
                <w:sz w:val="24"/>
                <w:szCs w:val="24"/>
              </w:rPr>
              <w:fldChar w:fldCharType="begin"/>
            </w:r>
            <w:r w:rsidR="006A4575">
              <w:rPr>
                <w:rFonts w:ascii="Times New Roman" w:hAnsi="Times New Roman" w:cs="Times New Roman"/>
                <w:sz w:val="24"/>
                <w:szCs w:val="24"/>
              </w:rPr>
              <w:instrText xml:space="preserve"> delta_recipientEmail_1  \* MERGEFORMAT</w:instrText>
            </w:r>
            <w:r w:rsidRPr="008474C4">
              <w:rPr>
                <w:rFonts w:ascii="Times New Roman" w:hAnsi="Times New Roman" w:cs="Times New Roman"/>
                <w:sz w:val="24"/>
                <w:szCs w:val="24"/>
              </w:rPr>
              <w:fldChar w:fldCharType="separate"/>
            </w:r>
            <w:r w:rsidR="006A4575">
              <w:rPr>
                <w:rFonts w:ascii="Times New Roman" w:hAnsi="Times New Roman" w:cs="Times New Roman"/>
                <w:sz w:val="24"/>
                <w:szCs w:val="24"/>
              </w:rPr>
              <w:t>info@alutagusemaa.ee</w:t>
            </w:r>
            <w:r w:rsidRPr="008474C4">
              <w:rPr>
                <w:rFonts w:ascii="Times New Roman" w:hAnsi="Times New Roman" w:cs="Times New Roman"/>
                <w:sz w:val="24"/>
                <w:szCs w:val="24"/>
              </w:rPr>
              <w:fldChar w:fldCharType="end"/>
            </w:r>
          </w:p>
        </w:tc>
        <w:tc>
          <w:tcPr>
            <w:tcW w:w="1848" w:type="dxa"/>
          </w:tcPr>
          <w:p w14:paraId="76C3B767" w14:textId="77777777" w:rsidR="0073668B" w:rsidRDefault="0073668B" w:rsidP="00BF6083">
            <w:pPr>
              <w:jc w:val="center"/>
              <w:rPr>
                <w:rFonts w:ascii="Times New Roman" w:hAnsi="Times New Roman" w:cs="Times New Roman"/>
                <w:sz w:val="24"/>
                <w:szCs w:val="24"/>
              </w:rPr>
            </w:pPr>
          </w:p>
        </w:tc>
        <w:tc>
          <w:tcPr>
            <w:tcW w:w="2410" w:type="dxa"/>
          </w:tcPr>
          <w:p w14:paraId="4D5FE2AD" w14:textId="77777777" w:rsidR="0073668B" w:rsidRDefault="0073668B" w:rsidP="00BF6083">
            <w:pPr>
              <w:jc w:val="center"/>
              <w:rPr>
                <w:rFonts w:ascii="Times New Roman" w:hAnsi="Times New Roman" w:cs="Times New Roman"/>
                <w:sz w:val="24"/>
                <w:szCs w:val="24"/>
              </w:rPr>
            </w:pPr>
          </w:p>
        </w:tc>
      </w:tr>
      <w:tr w:rsidR="0073668B" w14:paraId="133BD44F" w14:textId="77777777" w:rsidTr="00995E76">
        <w:trPr>
          <w:trHeight w:val="60"/>
        </w:trPr>
        <w:tc>
          <w:tcPr>
            <w:tcW w:w="5245" w:type="dxa"/>
          </w:tcPr>
          <w:p w14:paraId="64D72E2C" w14:textId="7DF702F0" w:rsidR="0073668B" w:rsidRDefault="00E67051" w:rsidP="00BF6083">
            <w:pPr>
              <w:rPr>
                <w:rFonts w:ascii="Times New Roman" w:hAnsi="Times New Roman" w:cs="Times New Roman"/>
                <w:sz w:val="24"/>
                <w:szCs w:val="24"/>
              </w:rPr>
            </w:pPr>
            <w:r>
              <w:rPr>
                <w:rFonts w:ascii="Times New Roman" w:hAnsi="Times New Roman" w:cs="Times New Roman"/>
                <w:sz w:val="24"/>
                <w:szCs w:val="24"/>
              </w:rPr>
              <w:fldChar w:fldCharType="begin"/>
            </w:r>
            <w:r w:rsidR="006A4575">
              <w:rPr>
                <w:rFonts w:ascii="Times New Roman" w:hAnsi="Times New Roman" w:cs="Times New Roman"/>
                <w:sz w:val="24"/>
                <w:szCs w:val="24"/>
              </w:rPr>
              <w:instrText xml:space="preserve"> delta_recipientStreetHouse_1  \* MERGEFORMAT</w:instrText>
            </w:r>
            <w:r>
              <w:rPr>
                <w:rFonts w:ascii="Times New Roman" w:hAnsi="Times New Roman" w:cs="Times New Roman"/>
                <w:sz w:val="24"/>
                <w:szCs w:val="24"/>
              </w:rPr>
              <w:fldChar w:fldCharType="separate"/>
            </w:r>
            <w:r w:rsidR="006A4575">
              <w:rPr>
                <w:rFonts w:ascii="Times New Roman" w:hAnsi="Times New Roman" w:cs="Times New Roman"/>
                <w:sz w:val="24"/>
                <w:szCs w:val="24"/>
              </w:rPr>
              <w:t>Rannapromenaadi</w:t>
            </w:r>
            <w:r>
              <w:rPr>
                <w:rFonts w:ascii="Times New Roman" w:hAnsi="Times New Roman" w:cs="Times New Roman"/>
                <w:sz w:val="24"/>
                <w:szCs w:val="24"/>
              </w:rPr>
              <w:fldChar w:fldCharType="end"/>
            </w:r>
          </w:p>
          <w:p w14:paraId="48CF735A" w14:textId="3B60869E" w:rsidR="00F241A7" w:rsidRDefault="00F241A7" w:rsidP="00BF6083">
            <w:pPr>
              <w:rPr>
                <w:rFonts w:ascii="Times New Roman" w:hAnsi="Times New Roman" w:cs="Times New Roman"/>
                <w:sz w:val="24"/>
                <w:szCs w:val="24"/>
              </w:rPr>
            </w:pPr>
            <w:r>
              <w:rPr>
                <w:rFonts w:ascii="Times New Roman" w:hAnsi="Times New Roman" w:cs="Times New Roman"/>
                <w:sz w:val="24"/>
                <w:szCs w:val="24"/>
              </w:rPr>
              <w:t>Kauksi küla</w:t>
            </w:r>
          </w:p>
          <w:p w14:paraId="665B4772" w14:textId="03F6E41D" w:rsidR="00E67051" w:rsidRDefault="00E67051" w:rsidP="00BF6083">
            <w:pPr>
              <w:rPr>
                <w:rFonts w:ascii="Times New Roman" w:hAnsi="Times New Roman" w:cs="Times New Roman"/>
                <w:sz w:val="24"/>
                <w:szCs w:val="24"/>
              </w:rPr>
            </w:pPr>
            <w:r>
              <w:rPr>
                <w:rFonts w:ascii="Times New Roman" w:hAnsi="Times New Roman" w:cs="Times New Roman"/>
                <w:sz w:val="24"/>
                <w:szCs w:val="24"/>
              </w:rPr>
              <w:fldChar w:fldCharType="begin"/>
            </w:r>
            <w:r w:rsidR="006A4575">
              <w:rPr>
                <w:rFonts w:ascii="Times New Roman" w:hAnsi="Times New Roman" w:cs="Times New Roman"/>
                <w:sz w:val="24"/>
                <w:szCs w:val="24"/>
              </w:rPr>
              <w:instrText xml:space="preserve"> delta_recipientPostalCity_1  \* MERGEFORMAT</w:instrText>
            </w:r>
            <w:r>
              <w:rPr>
                <w:rFonts w:ascii="Times New Roman" w:hAnsi="Times New Roman" w:cs="Times New Roman"/>
                <w:sz w:val="24"/>
                <w:szCs w:val="24"/>
              </w:rPr>
              <w:fldChar w:fldCharType="separate"/>
            </w:r>
            <w:r w:rsidR="006A4575">
              <w:rPr>
                <w:rFonts w:ascii="Times New Roman" w:hAnsi="Times New Roman" w:cs="Times New Roman"/>
                <w:sz w:val="24"/>
                <w:szCs w:val="24"/>
              </w:rPr>
              <w:t xml:space="preserve">41008, Ida-Viru maakond </w:t>
            </w:r>
            <w:r>
              <w:rPr>
                <w:rFonts w:ascii="Times New Roman" w:hAnsi="Times New Roman" w:cs="Times New Roman"/>
                <w:sz w:val="24"/>
                <w:szCs w:val="24"/>
              </w:rPr>
              <w:fldChar w:fldCharType="end"/>
            </w:r>
          </w:p>
          <w:p w14:paraId="61096D47" w14:textId="770E4671" w:rsidR="00D75989" w:rsidRPr="00163759" w:rsidRDefault="00F241A7" w:rsidP="00D75989">
            <w:pPr>
              <w:ind w:left="-57"/>
              <w:rPr>
                <w:rFonts w:ascii="Times New Roman" w:hAnsi="Times New Roman" w:cs="Times New Roman"/>
                <w:sz w:val="24"/>
                <w:szCs w:val="24"/>
              </w:rPr>
            </w:pPr>
            <w:r>
              <w:rPr>
                <w:rFonts w:ascii="Times New Roman" w:hAnsi="Times New Roman" w:cs="Times New Roman"/>
                <w:sz w:val="24"/>
                <w:szCs w:val="24"/>
              </w:rPr>
              <w:t xml:space="preserve"> </w:t>
            </w:r>
            <w:r w:rsidR="00D75989">
              <w:rPr>
                <w:rFonts w:ascii="Times New Roman" w:hAnsi="Times New Roman" w:cs="Times New Roman"/>
                <w:sz w:val="24"/>
                <w:szCs w:val="24"/>
              </w:rPr>
              <w:fldChar w:fldCharType="begin"/>
            </w:r>
            <w:r w:rsidR="006A4575">
              <w:rPr>
                <w:rFonts w:ascii="Times New Roman" w:hAnsi="Times New Roman" w:cs="Times New Roman"/>
                <w:sz w:val="24"/>
                <w:szCs w:val="24"/>
              </w:rPr>
              <w:instrText xml:space="preserve"> delta_recipientId_1  \* MERGEFORMAT</w:instrText>
            </w:r>
            <w:r w:rsidR="00D75989">
              <w:rPr>
                <w:rFonts w:ascii="Times New Roman" w:hAnsi="Times New Roman" w:cs="Times New Roman"/>
                <w:sz w:val="24"/>
                <w:szCs w:val="24"/>
              </w:rPr>
              <w:fldChar w:fldCharType="separate"/>
            </w:r>
            <w:r w:rsidR="006A4575">
              <w:rPr>
                <w:rFonts w:ascii="Times New Roman" w:hAnsi="Times New Roman" w:cs="Times New Roman"/>
                <w:sz w:val="24"/>
                <w:szCs w:val="24"/>
              </w:rPr>
              <w:t>90015270</w:t>
            </w:r>
            <w:r w:rsidR="00D75989">
              <w:rPr>
                <w:rFonts w:ascii="Times New Roman" w:hAnsi="Times New Roman" w:cs="Times New Roman"/>
                <w:sz w:val="24"/>
                <w:szCs w:val="24"/>
              </w:rPr>
              <w:fldChar w:fldCharType="end"/>
            </w:r>
          </w:p>
          <w:p w14:paraId="252F0B9E" w14:textId="77777777" w:rsidR="00D75989" w:rsidRDefault="00D75989" w:rsidP="00BF6083">
            <w:pPr>
              <w:rPr>
                <w:rFonts w:ascii="Times New Roman" w:hAnsi="Times New Roman" w:cs="Times New Roman"/>
                <w:sz w:val="24"/>
                <w:szCs w:val="24"/>
              </w:rPr>
            </w:pPr>
          </w:p>
          <w:p w14:paraId="2E133D1B" w14:textId="77777777" w:rsidR="00D75989" w:rsidRDefault="00D75989" w:rsidP="00BF6083">
            <w:pPr>
              <w:rPr>
                <w:rFonts w:ascii="Times New Roman" w:hAnsi="Times New Roman" w:cs="Times New Roman"/>
                <w:sz w:val="24"/>
                <w:szCs w:val="24"/>
              </w:rPr>
            </w:pPr>
          </w:p>
        </w:tc>
        <w:tc>
          <w:tcPr>
            <w:tcW w:w="1848" w:type="dxa"/>
          </w:tcPr>
          <w:p w14:paraId="331BF699" w14:textId="20C9E106" w:rsidR="0073668B" w:rsidRDefault="000011E2" w:rsidP="00995E76">
            <w:pPr>
              <w:ind w:left="608"/>
              <w:rPr>
                <w:rFonts w:ascii="Times New Roman" w:hAnsi="Times New Roman" w:cs="Times New Roman"/>
                <w:sz w:val="24"/>
                <w:szCs w:val="24"/>
              </w:rPr>
            </w:pPr>
            <w:r>
              <w:rPr>
                <w:rFonts w:ascii="Times New Roman" w:hAnsi="Times New Roman" w:cs="Times New Roman"/>
                <w:sz w:val="24"/>
                <w:szCs w:val="24"/>
              </w:rPr>
              <w:fldChar w:fldCharType="begin"/>
            </w:r>
            <w:r w:rsidR="006A4575">
              <w:rPr>
                <w:rFonts w:ascii="Times New Roman" w:hAnsi="Times New Roman" w:cs="Times New Roman"/>
                <w:sz w:val="24"/>
                <w:szCs w:val="24"/>
              </w:rPr>
              <w:instrText xml:space="preserve"> delta_regDateTime  \* MERGEFORMAT</w:instrText>
            </w:r>
            <w:r>
              <w:rPr>
                <w:rFonts w:ascii="Times New Roman" w:hAnsi="Times New Roman" w:cs="Times New Roman"/>
                <w:sz w:val="24"/>
                <w:szCs w:val="24"/>
              </w:rPr>
              <w:fldChar w:fldCharType="separate"/>
            </w:r>
            <w:r w:rsidR="006A4575">
              <w:rPr>
                <w:rFonts w:ascii="Times New Roman" w:hAnsi="Times New Roman" w:cs="Times New Roman"/>
                <w:sz w:val="24"/>
                <w:szCs w:val="24"/>
              </w:rPr>
              <w:t>15.05.2026</w:t>
            </w:r>
            <w:r>
              <w:rPr>
                <w:rFonts w:ascii="Times New Roman" w:hAnsi="Times New Roman" w:cs="Times New Roman"/>
                <w:sz w:val="24"/>
                <w:szCs w:val="24"/>
              </w:rPr>
              <w:fldChar w:fldCharType="end"/>
            </w:r>
          </w:p>
        </w:tc>
        <w:tc>
          <w:tcPr>
            <w:tcW w:w="2410" w:type="dxa"/>
          </w:tcPr>
          <w:p w14:paraId="52D0117D" w14:textId="212E05DF" w:rsidR="0073668B" w:rsidRDefault="000011E2" w:rsidP="00EB0AFF">
            <w:pPr>
              <w:rPr>
                <w:rFonts w:ascii="Times New Roman" w:hAnsi="Times New Roman" w:cs="Times New Roman"/>
                <w:sz w:val="24"/>
                <w:szCs w:val="24"/>
              </w:rPr>
            </w:pPr>
            <w:r>
              <w:rPr>
                <w:rFonts w:ascii="Times New Roman" w:hAnsi="Times New Roman" w:cs="Times New Roman"/>
                <w:sz w:val="24"/>
                <w:szCs w:val="24"/>
              </w:rPr>
              <w:t>n</w:t>
            </w:r>
            <w:r w:rsidR="0073668B">
              <w:rPr>
                <w:rFonts w:ascii="Times New Roman" w:hAnsi="Times New Roman" w:cs="Times New Roman"/>
                <w:sz w:val="24"/>
                <w:szCs w:val="24"/>
              </w:rPr>
              <w:t>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6A4575">
              <w:rPr>
                <w:rFonts w:ascii="Times New Roman" w:hAnsi="Times New Roman" w:cs="Times New Roman"/>
                <w:sz w:val="24"/>
                <w:szCs w:val="24"/>
              </w:rPr>
              <w:instrText xml:space="preserve"> delta_regNumber  \* MERGEFORMAT</w:instrText>
            </w:r>
            <w:r>
              <w:rPr>
                <w:rFonts w:ascii="Times New Roman" w:hAnsi="Times New Roman" w:cs="Times New Roman"/>
                <w:sz w:val="24"/>
                <w:szCs w:val="24"/>
              </w:rPr>
              <w:fldChar w:fldCharType="separate"/>
            </w:r>
            <w:r w:rsidR="006A4575">
              <w:rPr>
                <w:rFonts w:ascii="Times New Roman" w:hAnsi="Times New Roman" w:cs="Times New Roman"/>
                <w:sz w:val="24"/>
                <w:szCs w:val="24"/>
              </w:rPr>
              <w:t xml:space="preserve">11.3-1/26/2528 </w:t>
            </w:r>
            <w:r>
              <w:rPr>
                <w:rFonts w:ascii="Times New Roman" w:hAnsi="Times New Roman" w:cs="Times New Roman"/>
                <w:sz w:val="24"/>
                <w:szCs w:val="24"/>
              </w:rPr>
              <w:fldChar w:fldCharType="end"/>
            </w:r>
          </w:p>
        </w:tc>
      </w:tr>
    </w:tbl>
    <w:p w14:paraId="0C3300C7" w14:textId="77777777" w:rsidR="005959CF" w:rsidRDefault="005959CF" w:rsidP="000F0340">
      <w:pPr>
        <w:spacing w:after="0"/>
        <w:rPr>
          <w:rFonts w:ascii="Times New Roman" w:hAnsi="Times New Roman" w:cs="Times New Roman"/>
          <w:b/>
          <w:bCs/>
          <w:sz w:val="24"/>
          <w:szCs w:val="24"/>
        </w:rPr>
      </w:pPr>
    </w:p>
    <w:p w14:paraId="1BB187DF" w14:textId="77777777" w:rsidR="001E29CE" w:rsidRDefault="001E29CE" w:rsidP="000F0340">
      <w:pPr>
        <w:spacing w:after="0"/>
        <w:rPr>
          <w:rFonts w:ascii="Times New Roman" w:hAnsi="Times New Roman" w:cs="Times New Roman"/>
          <w:b/>
          <w:bCs/>
          <w:sz w:val="24"/>
          <w:szCs w:val="24"/>
        </w:rPr>
      </w:pPr>
    </w:p>
    <w:p w14:paraId="04B6249F" w14:textId="77777777" w:rsidR="000F0340" w:rsidRPr="003B1E96" w:rsidRDefault="000F0340" w:rsidP="000F0340">
      <w:pPr>
        <w:spacing w:after="0"/>
        <w:rPr>
          <w:rFonts w:ascii="Times New Roman" w:hAnsi="Times New Roman" w:cs="Times New Roman"/>
          <w:b/>
          <w:bCs/>
          <w:sz w:val="24"/>
          <w:szCs w:val="24"/>
        </w:rPr>
      </w:pPr>
    </w:p>
    <w:tbl>
      <w:tblPr>
        <w:tblStyle w:val="TableGrid"/>
        <w:tblW w:w="977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2"/>
      </w:tblGrid>
      <w:tr w:rsidR="005959CF" w14:paraId="75CC55DC" w14:textId="77777777" w:rsidTr="005959CF">
        <w:tc>
          <w:tcPr>
            <w:tcW w:w="5104" w:type="dxa"/>
          </w:tcPr>
          <w:p w14:paraId="5AA79A7D" w14:textId="17B6C299" w:rsidR="005959CF" w:rsidRDefault="005959CF" w:rsidP="005959CF">
            <w:pPr>
              <w:rPr>
                <w:rFonts w:ascii="Times New Roman" w:eastAsia="Arial Unicode MS" w:hAnsi="Times New Roman"/>
                <w:sz w:val="24"/>
                <w:szCs w:val="24"/>
              </w:rPr>
            </w:pPr>
            <w:r>
              <w:rPr>
                <w:rFonts w:ascii="Times New Roman" w:hAnsi="Times New Roman" w:cs="Times New Roman"/>
                <w:b/>
                <w:bCs/>
                <w:sz w:val="24"/>
                <w:szCs w:val="24"/>
              </w:rPr>
              <w:fldChar w:fldCharType="begin"/>
            </w:r>
            <w:r w:rsidR="006A4575">
              <w:rPr>
                <w:rFonts w:ascii="Times New Roman" w:hAnsi="Times New Roman" w:cs="Times New Roman"/>
                <w:b/>
                <w:bCs/>
                <w:sz w:val="24"/>
                <w:szCs w:val="24"/>
              </w:rPr>
              <w:instrText xml:space="preserve"> delta_docName  \* MERGEFORMAT</w:instrText>
            </w:r>
            <w:r>
              <w:rPr>
                <w:rFonts w:ascii="Times New Roman" w:hAnsi="Times New Roman" w:cs="Times New Roman"/>
                <w:b/>
                <w:bCs/>
                <w:sz w:val="24"/>
                <w:szCs w:val="24"/>
              </w:rPr>
              <w:fldChar w:fldCharType="separate"/>
            </w:r>
            <w:r w:rsidR="006A4575">
              <w:rPr>
                <w:rFonts w:ascii="Times New Roman" w:hAnsi="Times New Roman" w:cs="Times New Roman"/>
                <w:b/>
                <w:bCs/>
                <w:sz w:val="24"/>
                <w:szCs w:val="24"/>
              </w:rPr>
              <w:t>FINANTSKORREKTSIOONI OTSUS</w:t>
            </w:r>
            <w:r>
              <w:rPr>
                <w:rFonts w:ascii="Times New Roman" w:hAnsi="Times New Roman" w:cs="Times New Roman"/>
                <w:b/>
                <w:bCs/>
                <w:sz w:val="24"/>
                <w:szCs w:val="24"/>
              </w:rPr>
              <w:fldChar w:fldCharType="end"/>
            </w:r>
          </w:p>
        </w:tc>
        <w:tc>
          <w:tcPr>
            <w:tcW w:w="4672" w:type="dxa"/>
          </w:tcPr>
          <w:p w14:paraId="6ADE861F" w14:textId="77777777" w:rsidR="005959CF" w:rsidRDefault="005959CF" w:rsidP="005959CF">
            <w:pPr>
              <w:ind w:left="-108"/>
              <w:rPr>
                <w:rFonts w:ascii="Times New Roman" w:eastAsia="Arial Unicode MS" w:hAnsi="Times New Roman"/>
                <w:sz w:val="24"/>
                <w:szCs w:val="24"/>
              </w:rPr>
            </w:pPr>
          </w:p>
        </w:tc>
      </w:tr>
    </w:tbl>
    <w:p w14:paraId="3B06C9D7" w14:textId="77777777" w:rsidR="00657465" w:rsidRDefault="00657465" w:rsidP="00657465">
      <w:pPr>
        <w:spacing w:after="0" w:line="240" w:lineRule="auto"/>
        <w:rPr>
          <w:rFonts w:ascii="Times New Roman" w:eastAsia="Arial Unicode MS" w:hAnsi="Times New Roman"/>
          <w:sz w:val="24"/>
          <w:szCs w:val="24"/>
        </w:rPr>
      </w:pPr>
    </w:p>
    <w:p w14:paraId="19C6F9C1" w14:textId="77777777" w:rsidR="00C10301" w:rsidRDefault="00C10301" w:rsidP="00657465">
      <w:pPr>
        <w:spacing w:after="0" w:line="240" w:lineRule="auto"/>
        <w:rPr>
          <w:rFonts w:ascii="Times New Roman" w:eastAsia="Arial Unicode MS" w:hAnsi="Times New Roman"/>
          <w:sz w:val="24"/>
          <w:szCs w:val="24"/>
        </w:rPr>
      </w:pPr>
    </w:p>
    <w:p w14:paraId="5061530D" w14:textId="77777777" w:rsidR="00547D14" w:rsidRPr="00547D14" w:rsidRDefault="00547D14" w:rsidP="00547D14">
      <w:pPr>
        <w:spacing w:after="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Riigi Tugiteenuste Keskus teeb finantskorrektsiooni otsuse </w:t>
      </w:r>
      <w:r w:rsidRPr="00547D14">
        <w:rPr>
          <w:rFonts w:ascii="Times New Roman" w:eastAsia="Calibri" w:hAnsi="Times New Roman" w:cs="Times New Roman"/>
          <w:b/>
          <w:bCs/>
          <w:sz w:val="24"/>
          <w:szCs w:val="24"/>
        </w:rPr>
        <w:t xml:space="preserve">Sihtasutus Alutagusemaa </w:t>
      </w:r>
      <w:r w:rsidRPr="00547D14">
        <w:rPr>
          <w:rFonts w:ascii="Times New Roman" w:eastAsia="Calibri" w:hAnsi="Times New Roman" w:cs="Times New Roman"/>
          <w:sz w:val="24"/>
          <w:szCs w:val="24"/>
        </w:rPr>
        <w:t>projektile nr 2021-2027.6.01.24-0498 „</w:t>
      </w:r>
      <w:r w:rsidRPr="00547D14">
        <w:rPr>
          <w:rFonts w:ascii="Times New Roman" w:eastAsia="Calibri" w:hAnsi="Times New Roman" w:cs="Times New Roman"/>
          <w:b/>
          <w:bCs/>
          <w:sz w:val="24"/>
          <w:szCs w:val="24"/>
        </w:rPr>
        <w:t>Alajõe kogukonnamaja</w:t>
      </w:r>
      <w:r w:rsidRPr="00547D14">
        <w:rPr>
          <w:rFonts w:ascii="Times New Roman" w:eastAsia="Calibri" w:hAnsi="Times New Roman" w:cs="Times New Roman"/>
          <w:sz w:val="24"/>
          <w:szCs w:val="24"/>
        </w:rPr>
        <w:t>“.</w:t>
      </w:r>
    </w:p>
    <w:p w14:paraId="40BBF788" w14:textId="77777777" w:rsidR="00547D14" w:rsidRPr="00547D14" w:rsidRDefault="00547D14" w:rsidP="00547D14">
      <w:pPr>
        <w:spacing w:after="0" w:line="240" w:lineRule="auto"/>
        <w:jc w:val="both"/>
        <w:rPr>
          <w:rFonts w:ascii="Times New Roman" w:eastAsia="Calibri" w:hAnsi="Times New Roman" w:cs="Times New Roman"/>
          <w:b/>
          <w:bCs/>
          <w:sz w:val="24"/>
          <w:szCs w:val="24"/>
        </w:rPr>
      </w:pPr>
    </w:p>
    <w:p w14:paraId="06140622" w14:textId="77777777" w:rsidR="00547D14" w:rsidRPr="00547D14" w:rsidRDefault="00547D14" w:rsidP="00547D14">
      <w:pPr>
        <w:spacing w:after="0" w:line="240" w:lineRule="auto"/>
        <w:jc w:val="both"/>
        <w:rPr>
          <w:rFonts w:ascii="Times New Roman" w:eastAsia="Calibri" w:hAnsi="Times New Roman" w:cs="Times New Roman"/>
          <w:b/>
          <w:bCs/>
          <w:sz w:val="24"/>
          <w:szCs w:val="24"/>
        </w:rPr>
      </w:pPr>
      <w:r w:rsidRPr="00547D14">
        <w:rPr>
          <w:rFonts w:ascii="Times New Roman" w:eastAsia="Calibri" w:hAnsi="Times New Roman" w:cs="Times New Roman"/>
          <w:b/>
          <w:bCs/>
          <w:sz w:val="24"/>
          <w:szCs w:val="24"/>
        </w:rPr>
        <w:t>Finantskorrektsiooni põhjuseks on projektiga seotud</w:t>
      </w:r>
      <w:r w:rsidRPr="00547D14">
        <w:rPr>
          <w:rFonts w:ascii="Times New Roman" w:eastAsia="Calibri" w:hAnsi="Times New Roman" w:cs="Times New Roman"/>
          <w:sz w:val="24"/>
          <w:szCs w:val="24"/>
        </w:rPr>
        <w:t xml:space="preserve"> </w:t>
      </w:r>
      <w:r w:rsidRPr="00547D14">
        <w:rPr>
          <w:rFonts w:ascii="Times New Roman" w:eastAsia="Calibri" w:hAnsi="Times New Roman" w:cs="Times New Roman"/>
          <w:b/>
          <w:bCs/>
          <w:sz w:val="24"/>
          <w:szCs w:val="24"/>
        </w:rPr>
        <w:t>riigihankes nr 283350</w:t>
      </w:r>
      <w:r w:rsidRPr="00547D14">
        <w:rPr>
          <w:rFonts w:ascii="Times New Roman" w:eastAsia="Calibri" w:hAnsi="Times New Roman" w:cs="Times New Roman"/>
          <w:sz w:val="24"/>
          <w:szCs w:val="24"/>
        </w:rPr>
        <w:t xml:space="preserve"> </w:t>
      </w:r>
      <w:r w:rsidRPr="00547D14">
        <w:rPr>
          <w:rFonts w:ascii="Times New Roman" w:eastAsia="Calibri" w:hAnsi="Times New Roman" w:cs="Times New Roman"/>
          <w:b/>
          <w:bCs/>
          <w:sz w:val="24"/>
          <w:szCs w:val="24"/>
        </w:rPr>
        <w:t>„Alajõe kogukonnamaja külastustaristu projekteerimine“</w:t>
      </w:r>
      <w:r w:rsidRPr="00547D14">
        <w:rPr>
          <w:rFonts w:ascii="Times New Roman" w:eastAsia="Calibri" w:hAnsi="Times New Roman" w:cs="Times New Roman"/>
          <w:sz w:val="24"/>
          <w:szCs w:val="24"/>
        </w:rPr>
        <w:t xml:space="preserve"> </w:t>
      </w:r>
      <w:r w:rsidRPr="00547D14">
        <w:rPr>
          <w:rFonts w:ascii="Times New Roman" w:eastAsia="Calibri" w:hAnsi="Times New Roman" w:cs="Times New Roman"/>
          <w:b/>
          <w:bCs/>
          <w:sz w:val="24"/>
          <w:szCs w:val="24"/>
        </w:rPr>
        <w:t>esinenud puudused</w:t>
      </w:r>
      <w:r w:rsidRPr="00547D14">
        <w:rPr>
          <w:rFonts w:ascii="Times New Roman" w:eastAsia="Calibri" w:hAnsi="Times New Roman" w:cs="Times New Roman"/>
          <w:sz w:val="24"/>
          <w:szCs w:val="24"/>
        </w:rPr>
        <w:t xml:space="preserve">: </w:t>
      </w:r>
    </w:p>
    <w:p w14:paraId="493C0524" w14:textId="77777777" w:rsidR="00547D14" w:rsidRPr="00547D14" w:rsidRDefault="00547D14" w:rsidP="00547D14">
      <w:pPr>
        <w:spacing w:after="0" w:line="240" w:lineRule="auto"/>
        <w:jc w:val="both"/>
        <w:rPr>
          <w:rFonts w:ascii="Times New Roman" w:eastAsia="Calibri" w:hAnsi="Times New Roman" w:cs="Times New Roman"/>
          <w:sz w:val="24"/>
          <w:szCs w:val="24"/>
        </w:rPr>
      </w:pPr>
    </w:p>
    <w:p w14:paraId="1E9E1829" w14:textId="77777777" w:rsidR="00547D14" w:rsidRPr="00547D14" w:rsidRDefault="00547D14" w:rsidP="00547D14">
      <w:pPr>
        <w:spacing w:after="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1. riigihanke alusdokumentides ei ole sätestatud kõiki tulevase hankelepingu olulisi tingimusi;</w:t>
      </w:r>
    </w:p>
    <w:p w14:paraId="3211ADD1" w14:textId="77777777" w:rsidR="00547D14" w:rsidRPr="00547D14" w:rsidRDefault="00547D14" w:rsidP="00547D14">
      <w:pPr>
        <w:spacing w:after="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⁠2. avatud hankemenetluses on peetud läbirääkimisi.</w:t>
      </w:r>
    </w:p>
    <w:p w14:paraId="6B460B5B" w14:textId="77777777" w:rsidR="00547D14" w:rsidRPr="00547D14" w:rsidRDefault="00547D14" w:rsidP="00547D14">
      <w:pPr>
        <w:spacing w:after="0" w:line="240" w:lineRule="auto"/>
        <w:jc w:val="both"/>
        <w:rPr>
          <w:rFonts w:ascii="Times New Roman" w:eastAsia="Calibri" w:hAnsi="Times New Roman" w:cs="Times New Roman"/>
          <w:sz w:val="24"/>
          <w:szCs w:val="24"/>
        </w:rPr>
      </w:pPr>
    </w:p>
    <w:p w14:paraId="792E997E" w14:textId="77777777" w:rsidR="00547D14" w:rsidRPr="00547D14" w:rsidRDefault="00547D14" w:rsidP="00547D14">
      <w:pPr>
        <w:spacing w:after="0" w:line="240" w:lineRule="auto"/>
        <w:jc w:val="both"/>
        <w:rPr>
          <w:rFonts w:ascii="Times New Roman" w:eastAsia="Calibri" w:hAnsi="Times New Roman" w:cs="Times New Roman"/>
          <w:b/>
          <w:bCs/>
          <w:sz w:val="24"/>
          <w:szCs w:val="24"/>
        </w:rPr>
      </w:pPr>
      <w:r w:rsidRPr="00547D14">
        <w:rPr>
          <w:rFonts w:ascii="Times New Roman" w:eastAsia="Calibri" w:hAnsi="Times New Roman" w:cs="Times New Roman"/>
          <w:b/>
          <w:bCs/>
          <w:sz w:val="24"/>
          <w:szCs w:val="24"/>
        </w:rPr>
        <w:t>Rakendusüksus otsustab:</w:t>
      </w:r>
    </w:p>
    <w:p w14:paraId="0BC3654C" w14:textId="77777777" w:rsidR="00547D14" w:rsidRPr="00547D14" w:rsidRDefault="00547D14" w:rsidP="00547D14">
      <w:pPr>
        <w:spacing w:after="0" w:line="240" w:lineRule="auto"/>
        <w:jc w:val="both"/>
        <w:rPr>
          <w:rFonts w:ascii="Times New Roman" w:eastAsia="Calibri" w:hAnsi="Times New Roman" w:cs="Times New Roman"/>
          <w:b/>
          <w:bCs/>
          <w:sz w:val="24"/>
          <w:szCs w:val="24"/>
        </w:rPr>
      </w:pPr>
    </w:p>
    <w:p w14:paraId="6211C516" w14:textId="77777777" w:rsidR="00547D14" w:rsidRPr="00547D14" w:rsidRDefault="00547D14" w:rsidP="00547D14">
      <w:pPr>
        <w:numPr>
          <w:ilvl w:val="0"/>
          <w:numId w:val="2"/>
        </w:numPr>
        <w:spacing w:after="0" w:line="240" w:lineRule="auto"/>
        <w:ind w:left="357" w:hanging="357"/>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kohaldada rikkumisele </w:t>
      </w:r>
      <w:r w:rsidRPr="00547D14">
        <w:rPr>
          <w:rFonts w:ascii="Times New Roman" w:eastAsia="Calibri" w:hAnsi="Times New Roman" w:cs="Times New Roman"/>
          <w:b/>
          <w:bCs/>
          <w:sz w:val="24"/>
          <w:szCs w:val="24"/>
        </w:rPr>
        <w:t>25% finantskorrektsiooni määra</w:t>
      </w:r>
      <w:r w:rsidRPr="00547D14">
        <w:rPr>
          <w:rFonts w:ascii="Times New Roman" w:eastAsia="Calibri" w:hAnsi="Times New Roman" w:cs="Times New Roman"/>
          <w:sz w:val="24"/>
          <w:szCs w:val="24"/>
        </w:rPr>
        <w:t>;</w:t>
      </w:r>
    </w:p>
    <w:p w14:paraId="5EC2CAD6" w14:textId="77777777" w:rsidR="00547D14" w:rsidRPr="00547D14" w:rsidRDefault="00547D14" w:rsidP="00547D14">
      <w:pPr>
        <w:numPr>
          <w:ilvl w:val="0"/>
          <w:numId w:val="2"/>
        </w:numPr>
        <w:spacing w:after="0" w:line="240" w:lineRule="auto"/>
        <w:ind w:left="357" w:hanging="357"/>
        <w:jc w:val="both"/>
        <w:rPr>
          <w:rFonts w:ascii="Times New Roman" w:eastAsia="Calibri" w:hAnsi="Times New Roman" w:cs="Times New Roman"/>
          <w:b/>
          <w:bCs/>
          <w:sz w:val="24"/>
          <w:szCs w:val="24"/>
        </w:rPr>
      </w:pPr>
      <w:r w:rsidRPr="00547D14">
        <w:rPr>
          <w:rFonts w:ascii="Times New Roman" w:eastAsia="Calibri" w:hAnsi="Times New Roman" w:cs="Times New Roman"/>
          <w:sz w:val="24"/>
          <w:szCs w:val="24"/>
        </w:rPr>
        <w:t xml:space="preserve">vähendada projekti abikõlblikke kulusid ja eelarvet </w:t>
      </w:r>
      <w:r w:rsidRPr="00547D14">
        <w:rPr>
          <w:rFonts w:ascii="Times New Roman" w:eastAsia="Calibri" w:hAnsi="Times New Roman" w:cs="Times New Roman"/>
          <w:b/>
          <w:bCs/>
          <w:sz w:val="24"/>
          <w:szCs w:val="24"/>
        </w:rPr>
        <w:t>7 268,78 euro võrra</w:t>
      </w:r>
      <w:r w:rsidRPr="00547D14">
        <w:rPr>
          <w:rFonts w:ascii="Times New Roman" w:eastAsia="Calibri" w:hAnsi="Times New Roman" w:cs="Times New Roman"/>
          <w:sz w:val="24"/>
          <w:szCs w:val="24"/>
        </w:rPr>
        <w:t>, millest toetus moodustab 5 088,14 eurot ja omafinantseering 2 180,64 eurot;</w:t>
      </w:r>
    </w:p>
    <w:p w14:paraId="71EC5885" w14:textId="77777777" w:rsidR="00547D14" w:rsidRPr="00547D14" w:rsidRDefault="00547D14" w:rsidP="00547D14">
      <w:pPr>
        <w:numPr>
          <w:ilvl w:val="0"/>
          <w:numId w:val="2"/>
        </w:numPr>
        <w:spacing w:after="0" w:line="240" w:lineRule="auto"/>
        <w:ind w:left="357" w:hanging="357"/>
        <w:jc w:val="both"/>
        <w:rPr>
          <w:rFonts w:ascii="Times New Roman" w:eastAsia="Calibri" w:hAnsi="Times New Roman" w:cs="Times New Roman"/>
          <w:b/>
          <w:bCs/>
          <w:sz w:val="24"/>
          <w:szCs w:val="24"/>
        </w:rPr>
      </w:pPr>
      <w:r w:rsidRPr="00547D14">
        <w:rPr>
          <w:rFonts w:ascii="Times New Roman" w:eastAsia="Calibri" w:hAnsi="Times New Roman" w:cs="Times New Roman"/>
          <w:sz w:val="24"/>
          <w:szCs w:val="24"/>
        </w:rPr>
        <w:t>nõuda toetuse saajalt tagasi toetus 1 634,17 eurot;</w:t>
      </w:r>
    </w:p>
    <w:p w14:paraId="130CCBEC" w14:textId="591A7883" w:rsidR="00547D14" w:rsidRPr="00547D14" w:rsidRDefault="00547D14" w:rsidP="00547D14">
      <w:pPr>
        <w:numPr>
          <w:ilvl w:val="0"/>
          <w:numId w:val="2"/>
        </w:numPr>
        <w:spacing w:after="0" w:line="240" w:lineRule="auto"/>
        <w:ind w:left="357" w:hanging="357"/>
        <w:jc w:val="both"/>
        <w:rPr>
          <w:rFonts w:ascii="Times New Roman" w:eastAsia="Calibri" w:hAnsi="Times New Roman" w:cs="Times New Roman"/>
          <w:b/>
          <w:bCs/>
          <w:sz w:val="20"/>
          <w:szCs w:val="20"/>
        </w:rPr>
      </w:pPr>
      <w:r w:rsidRPr="00547D14">
        <w:rPr>
          <w:rFonts w:ascii="Times New Roman" w:eastAsia="Calibri" w:hAnsi="Times New Roman" w:cs="Times New Roman"/>
          <w:sz w:val="24"/>
          <w:szCs w:val="24"/>
        </w:rPr>
        <w:t>toetuse saajal tuleb</w:t>
      </w:r>
      <w:r w:rsidRPr="00547D14">
        <w:rPr>
          <w:rFonts w:ascii="Times New Roman" w:eastAsia="Calibri" w:hAnsi="Times New Roman" w:cs="Times New Roman"/>
          <w:b/>
          <w:bCs/>
          <w:sz w:val="24"/>
          <w:szCs w:val="24"/>
        </w:rPr>
        <w:t xml:space="preserve"> maksta 1 634,17 eurot 60 kalendripäeva jooksul </w:t>
      </w:r>
      <w:r w:rsidRPr="00547D14">
        <w:rPr>
          <w:rFonts w:ascii="Times New Roman" w:eastAsia="Calibri" w:hAnsi="Times New Roman" w:cs="Times New Roman"/>
          <w:sz w:val="24"/>
          <w:szCs w:val="24"/>
        </w:rPr>
        <w:t>otsuse kättesaamisest</w:t>
      </w:r>
      <w:r w:rsidRPr="00547D14">
        <w:rPr>
          <w:rFonts w:ascii="Times New Roman" w:eastAsia="Calibri" w:hAnsi="Times New Roman" w:cs="Times New Roman"/>
          <w:b/>
          <w:bCs/>
          <w:sz w:val="24"/>
          <w:szCs w:val="24"/>
        </w:rPr>
        <w:t xml:space="preserve"> </w:t>
      </w:r>
      <w:r w:rsidRPr="00547D14">
        <w:rPr>
          <w:rFonts w:ascii="Times New Roman" w:eastAsia="Calibri" w:hAnsi="Times New Roman" w:cs="Times New Roman"/>
          <w:sz w:val="24"/>
          <w:szCs w:val="24"/>
        </w:rPr>
        <w:t>Rahandusministeeriumi pangakontole</w:t>
      </w:r>
      <w:r w:rsidRPr="00547D14">
        <w:rPr>
          <w:rFonts w:ascii="Times New Roman" w:eastAsia="Calibri" w:hAnsi="Times New Roman" w:cs="Times New Roman"/>
          <w:sz w:val="24"/>
          <w:szCs w:val="24"/>
          <w:vertAlign w:val="superscript"/>
        </w:rPr>
        <w:footnoteReference w:id="1"/>
      </w:r>
      <w:r w:rsidRPr="00547D1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47D14">
        <w:rPr>
          <w:rFonts w:ascii="Times New Roman" w:eastAsia="Calibri" w:hAnsi="Times New Roman" w:cs="Times New Roman"/>
          <w:sz w:val="24"/>
          <w:szCs w:val="24"/>
        </w:rPr>
        <w:t>Tasumata summalt arvestatakse viivist 0,06% iga viivitatud päeva eest</w:t>
      </w:r>
      <w:r w:rsidRPr="00547D14">
        <w:rPr>
          <w:rFonts w:ascii="Times New Roman" w:eastAsia="Calibri" w:hAnsi="Times New Roman" w:cs="Times New Roman"/>
          <w:sz w:val="20"/>
          <w:szCs w:val="20"/>
        </w:rPr>
        <w:t>;</w:t>
      </w:r>
    </w:p>
    <w:p w14:paraId="6CF7DBE6" w14:textId="77777777" w:rsidR="00547D14" w:rsidRPr="00547D14" w:rsidRDefault="00547D14" w:rsidP="00547D14">
      <w:pPr>
        <w:numPr>
          <w:ilvl w:val="0"/>
          <w:numId w:val="2"/>
        </w:numPr>
        <w:spacing w:after="0" w:line="240" w:lineRule="auto"/>
        <w:ind w:left="357" w:hanging="357"/>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vähendada riigihankega nr 283350 seotud kuludokumendis nr 8 abikõlblikke kulusid 25% võrra, s.o summas 4 837,50 eurot + ühtse määra kulud 96,75 eurot;</w:t>
      </w:r>
    </w:p>
    <w:p w14:paraId="7BBBE51C" w14:textId="77777777" w:rsidR="00547D14" w:rsidRPr="00547D14" w:rsidRDefault="00547D14" w:rsidP="00547D14">
      <w:pPr>
        <w:numPr>
          <w:ilvl w:val="0"/>
          <w:numId w:val="2"/>
        </w:numPr>
        <w:spacing w:after="0" w:line="240" w:lineRule="auto"/>
        <w:ind w:left="357" w:hanging="357"/>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muuta projekti taotluse rahuldamise otsuse punkti 2 järgmiselt: „2. Projekti abikõlblik kogumaksumus on 1 495 551,65 eurot, millest toetuse piirmäär on kuni 80% ja omafinantseering vähemalt 20% abikõlblikest kuludest. Maksimaalne toetuse suurus on 1 046 886,16 eurot.“. </w:t>
      </w:r>
    </w:p>
    <w:p w14:paraId="72516C5D" w14:textId="77777777" w:rsidR="00547D14" w:rsidRPr="00547D14" w:rsidRDefault="00547D14" w:rsidP="00547D14">
      <w:pPr>
        <w:spacing w:after="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lastRenderedPageBreak/>
        <w:t xml:space="preserve"> </w:t>
      </w:r>
    </w:p>
    <w:p w14:paraId="38B71C1A" w14:textId="77777777" w:rsidR="00547D14" w:rsidRPr="00547D14" w:rsidRDefault="00547D14" w:rsidP="00547D14">
      <w:pPr>
        <w:spacing w:before="240" w:after="240" w:line="240" w:lineRule="auto"/>
        <w:jc w:val="both"/>
        <w:rPr>
          <w:rFonts w:ascii="Times New Roman" w:eastAsia="Calibri" w:hAnsi="Times New Roman" w:cs="Times New Roman"/>
          <w:b/>
          <w:bCs/>
          <w:sz w:val="24"/>
          <w:szCs w:val="24"/>
        </w:rPr>
      </w:pPr>
      <w:r w:rsidRPr="00547D14">
        <w:rPr>
          <w:rFonts w:ascii="Times New Roman" w:eastAsia="Calibri" w:hAnsi="Times New Roman" w:cs="Times New Roman"/>
          <w:b/>
          <w:bCs/>
          <w:sz w:val="24"/>
          <w:szCs w:val="24"/>
        </w:rPr>
        <w:t xml:space="preserve">Otsus koosneb järgmistest osadest: </w:t>
      </w:r>
      <w:hyperlink w:anchor="oiguslikud_alused">
        <w:r w:rsidRPr="00547D14">
          <w:rPr>
            <w:rFonts w:ascii="Times New Roman" w:eastAsia="Calibri" w:hAnsi="Times New Roman" w:cs="Times New Roman"/>
            <w:color w:val="4472C4" w:themeColor="accent1"/>
            <w:sz w:val="24"/>
            <w:szCs w:val="24"/>
            <w:u w:val="single"/>
          </w:rPr>
          <w:t>õiguslikud alused</w:t>
        </w:r>
      </w:hyperlink>
      <w:r w:rsidRPr="00547D14">
        <w:rPr>
          <w:rFonts w:ascii="Times New Roman" w:eastAsia="Calibri" w:hAnsi="Times New Roman" w:cs="Times New Roman"/>
          <w:sz w:val="24"/>
          <w:szCs w:val="24"/>
        </w:rPr>
        <w:t xml:space="preserve">, </w:t>
      </w:r>
      <w:hyperlink w:anchor="asjaolud_ja_toetuse_saaja_selgitused">
        <w:r w:rsidRPr="00547D14">
          <w:rPr>
            <w:rFonts w:ascii="Times New Roman" w:eastAsia="Calibri" w:hAnsi="Times New Roman" w:cs="Times New Roman"/>
            <w:color w:val="4472C4" w:themeColor="accent1"/>
            <w:sz w:val="24"/>
            <w:szCs w:val="24"/>
            <w:u w:val="single"/>
          </w:rPr>
          <w:t>asjaolud</w:t>
        </w:r>
      </w:hyperlink>
      <w:r w:rsidRPr="00547D14">
        <w:t>,</w:t>
      </w:r>
      <w:r w:rsidRPr="00547D14">
        <w:rPr>
          <w:rFonts w:ascii="Times New Roman" w:eastAsia="Calibri" w:hAnsi="Times New Roman" w:cs="Times New Roman"/>
          <w:sz w:val="24"/>
          <w:szCs w:val="24"/>
        </w:rPr>
        <w:t xml:space="preserve"> </w:t>
      </w:r>
      <w:hyperlink w:anchor="asjaolud_ja_toetuse_saaja_selgitused" w:history="1">
        <w:r w:rsidRPr="00547D14">
          <w:rPr>
            <w:rFonts w:ascii="Times New Roman" w:eastAsia="Calibri" w:hAnsi="Times New Roman" w:cs="Times New Roman"/>
            <w:color w:val="4472C4" w:themeColor="accent1"/>
            <w:sz w:val="24"/>
            <w:szCs w:val="24"/>
            <w:u w:val="single"/>
          </w:rPr>
          <w:t>toetuse saaja selgitused,</w:t>
        </w:r>
      </w:hyperlink>
      <w:r w:rsidRPr="00547D14">
        <w:rPr>
          <w:rFonts w:ascii="Times New Roman" w:eastAsia="Calibri" w:hAnsi="Times New Roman" w:cs="Times New Roman"/>
          <w:sz w:val="24"/>
          <w:szCs w:val="24"/>
        </w:rPr>
        <w:t xml:space="preserve"> </w:t>
      </w:r>
      <w:hyperlink w:anchor="finantskorrektsiooni_pohjendused">
        <w:r w:rsidRPr="00547D14">
          <w:rPr>
            <w:rFonts w:ascii="Times New Roman" w:eastAsia="Calibri" w:hAnsi="Times New Roman" w:cs="Times New Roman"/>
            <w:color w:val="4472C4" w:themeColor="accent1"/>
            <w:sz w:val="24"/>
            <w:szCs w:val="24"/>
            <w:u w:val="single"/>
          </w:rPr>
          <w:t>finantskorrektsiooni põhjendused</w:t>
        </w:r>
      </w:hyperlink>
      <w:r w:rsidRPr="00547D14">
        <w:rPr>
          <w:rFonts w:ascii="Times New Roman" w:eastAsia="Calibri" w:hAnsi="Times New Roman" w:cs="Times New Roman"/>
          <w:sz w:val="24"/>
          <w:szCs w:val="24"/>
        </w:rPr>
        <w:t xml:space="preserve">, </w:t>
      </w:r>
      <w:hyperlink w:anchor="korrektsioonimaar">
        <w:r w:rsidRPr="00547D14">
          <w:rPr>
            <w:rFonts w:ascii="Times New Roman" w:eastAsia="Calibri" w:hAnsi="Times New Roman" w:cs="Times New Roman"/>
            <w:color w:val="4472C4" w:themeColor="accent1"/>
            <w:sz w:val="24"/>
            <w:szCs w:val="24"/>
            <w:u w:val="single"/>
          </w:rPr>
          <w:t>korrektsioonimäär</w:t>
        </w:r>
      </w:hyperlink>
      <w:r w:rsidRPr="00547D14">
        <w:rPr>
          <w:rFonts w:ascii="Times New Roman" w:eastAsia="Calibri" w:hAnsi="Times New Roman" w:cs="Times New Roman"/>
          <w:sz w:val="24"/>
          <w:szCs w:val="24"/>
        </w:rPr>
        <w:t xml:space="preserve">, </w:t>
      </w:r>
      <w:hyperlink w:anchor="abikolbmatud_kulud_ja_eelarve">
        <w:r w:rsidRPr="00547D14">
          <w:rPr>
            <w:rFonts w:ascii="Times New Roman" w:eastAsia="Calibri" w:hAnsi="Times New Roman" w:cs="Times New Roman"/>
            <w:color w:val="4472C4" w:themeColor="accent1"/>
            <w:sz w:val="24"/>
            <w:szCs w:val="24"/>
            <w:u w:val="single"/>
          </w:rPr>
          <w:t>rikkumise summa ja eelarve vähendamine</w:t>
        </w:r>
      </w:hyperlink>
      <w:r w:rsidRPr="00547D14">
        <w:rPr>
          <w:rFonts w:ascii="Times New Roman" w:eastAsia="Calibri" w:hAnsi="Times New Roman" w:cs="Times New Roman"/>
          <w:sz w:val="24"/>
          <w:szCs w:val="24"/>
        </w:rPr>
        <w:t xml:space="preserve">, </w:t>
      </w:r>
      <w:hyperlink w:anchor="ärakuulamine" w:history="1">
        <w:r w:rsidRPr="00547D14">
          <w:rPr>
            <w:rFonts w:ascii="Times New Roman" w:eastAsia="Calibri" w:hAnsi="Times New Roman" w:cs="Times New Roman"/>
            <w:color w:val="4472C4" w:themeColor="accent1"/>
            <w:sz w:val="24"/>
            <w:szCs w:val="24"/>
            <w:u w:val="single"/>
          </w:rPr>
          <w:t>ärakuulamine</w:t>
        </w:r>
      </w:hyperlink>
      <w:r w:rsidRPr="00547D14">
        <w:rPr>
          <w:rFonts w:ascii="Times New Roman" w:eastAsia="Calibri" w:hAnsi="Times New Roman" w:cs="Times New Roman"/>
          <w:sz w:val="24"/>
          <w:szCs w:val="24"/>
        </w:rPr>
        <w:t xml:space="preserve">, </w:t>
      </w:r>
      <w:hyperlink w:anchor="menetluslik_teave">
        <w:r w:rsidRPr="00547D14">
          <w:rPr>
            <w:rFonts w:ascii="Times New Roman" w:eastAsia="Calibri" w:hAnsi="Times New Roman" w:cs="Times New Roman"/>
            <w:color w:val="4472C4" w:themeColor="accent1"/>
            <w:sz w:val="24"/>
            <w:szCs w:val="24"/>
            <w:u w:val="single"/>
          </w:rPr>
          <w:t>vaidlustamine</w:t>
        </w:r>
      </w:hyperlink>
      <w:r w:rsidRPr="00547D14">
        <w:rPr>
          <w:rFonts w:ascii="Times New Roman" w:eastAsia="Calibri" w:hAnsi="Times New Roman" w:cs="Times New Roman"/>
          <w:sz w:val="24"/>
          <w:szCs w:val="24"/>
        </w:rPr>
        <w:t xml:space="preserve">, </w:t>
      </w:r>
      <w:hyperlink w:anchor="lisad">
        <w:r w:rsidRPr="00547D14">
          <w:rPr>
            <w:rFonts w:ascii="Times New Roman" w:eastAsia="Calibri" w:hAnsi="Times New Roman" w:cs="Times New Roman"/>
            <w:color w:val="4472C4" w:themeColor="accent1"/>
            <w:sz w:val="24"/>
            <w:szCs w:val="24"/>
            <w:u w:val="single"/>
          </w:rPr>
          <w:t>lisad</w:t>
        </w:r>
      </w:hyperlink>
      <w:r w:rsidRPr="00547D14">
        <w:rPr>
          <w:rFonts w:ascii="Times New Roman" w:eastAsia="Calibri" w:hAnsi="Times New Roman" w:cs="Times New Roman"/>
          <w:sz w:val="24"/>
          <w:szCs w:val="24"/>
        </w:rPr>
        <w:t>.</w:t>
      </w:r>
      <w:bookmarkStart w:id="2" w:name="oiguslikud_alused"/>
    </w:p>
    <w:p w14:paraId="63BDF612" w14:textId="77777777" w:rsidR="00547D14" w:rsidRPr="00547D14" w:rsidRDefault="00547D14" w:rsidP="00547D14">
      <w:pPr>
        <w:spacing w:after="0" w:line="240" w:lineRule="auto"/>
        <w:rPr>
          <w:rFonts w:ascii="Times New Roman" w:hAnsi="Times New Roman" w:cs="Times New Roman"/>
          <w:b/>
          <w:smallCaps/>
          <w:color w:val="000000" w:themeColor="text1"/>
          <w:spacing w:val="5"/>
          <w:sz w:val="24"/>
          <w:szCs w:val="24"/>
        </w:rPr>
      </w:pPr>
      <w:r w:rsidRPr="00547D14">
        <w:rPr>
          <w:rFonts w:ascii="Times New Roman" w:hAnsi="Times New Roman" w:cs="Times New Roman"/>
          <w:b/>
          <w:bCs/>
          <w:smallCaps/>
          <w:color w:val="000000" w:themeColor="text1"/>
          <w:spacing w:val="5"/>
          <w:sz w:val="24"/>
          <w:szCs w:val="24"/>
        </w:rPr>
        <w:t>ÕIGUSLIKUD ALUSED</w:t>
      </w:r>
      <w:bookmarkEnd w:id="2"/>
    </w:p>
    <w:p w14:paraId="09960E92" w14:textId="77777777" w:rsidR="00547D14" w:rsidRPr="00547D14" w:rsidRDefault="00547D14" w:rsidP="00547D14">
      <w:pPr>
        <w:spacing w:after="0" w:line="240" w:lineRule="auto"/>
        <w:jc w:val="both"/>
        <w:rPr>
          <w:rFonts w:ascii="Times New Roman" w:hAnsi="Times New Roman" w:cs="Times New Roman"/>
          <w:color w:val="000000" w:themeColor="text1"/>
          <w:sz w:val="24"/>
          <w:szCs w:val="24"/>
        </w:rPr>
      </w:pPr>
    </w:p>
    <w:p w14:paraId="5CB9BE72" w14:textId="77777777" w:rsidR="00547D14" w:rsidRPr="00547D14" w:rsidRDefault="00547D14" w:rsidP="00547D14">
      <w:pPr>
        <w:numPr>
          <w:ilvl w:val="0"/>
          <w:numId w:val="22"/>
        </w:numPr>
        <w:spacing w:after="0" w:line="240" w:lineRule="auto"/>
        <w:jc w:val="both"/>
        <w:rPr>
          <w:rFonts w:ascii="Times New Roman" w:hAnsi="Times New Roman" w:cs="Times New Roman"/>
          <w:color w:val="000000" w:themeColor="text1"/>
          <w:sz w:val="24"/>
          <w:szCs w:val="24"/>
        </w:rPr>
      </w:pPr>
      <w:r w:rsidRPr="00547D14">
        <w:rPr>
          <w:rFonts w:ascii="Times New Roman" w:hAnsi="Times New Roman" w:cs="Times New Roman"/>
          <w:color w:val="000000" w:themeColor="text1"/>
          <w:sz w:val="24"/>
          <w:szCs w:val="24"/>
        </w:rPr>
        <w:t xml:space="preserve">Perioodi 2021-2027 Euroopa Liidu ühtekuuluvus- ja siseturvalisuspoliitika fondide rakendamise seaduse (edaspidi </w:t>
      </w:r>
      <w:r w:rsidRPr="00547D14">
        <w:rPr>
          <w:rFonts w:ascii="Times New Roman" w:hAnsi="Times New Roman" w:cs="Times New Roman"/>
          <w:b/>
          <w:bCs/>
          <w:i/>
          <w:iCs/>
          <w:color w:val="000000" w:themeColor="text1"/>
          <w:sz w:val="24"/>
          <w:szCs w:val="24"/>
        </w:rPr>
        <w:t>ÜSS2021_2027</w:t>
      </w:r>
      <w:r w:rsidRPr="00547D14">
        <w:rPr>
          <w:rFonts w:ascii="Times New Roman" w:hAnsi="Times New Roman" w:cs="Times New Roman"/>
          <w:color w:val="000000" w:themeColor="text1"/>
          <w:sz w:val="24"/>
          <w:szCs w:val="24"/>
        </w:rPr>
        <w:t xml:space="preserve">) § 28; </w:t>
      </w:r>
    </w:p>
    <w:p w14:paraId="5CCBF939" w14:textId="77777777" w:rsidR="00547D14" w:rsidRPr="00547D14" w:rsidRDefault="00547D14" w:rsidP="00547D14">
      <w:pPr>
        <w:numPr>
          <w:ilvl w:val="0"/>
          <w:numId w:val="22"/>
        </w:numPr>
        <w:spacing w:after="0" w:line="240" w:lineRule="auto"/>
        <w:jc w:val="both"/>
        <w:rPr>
          <w:rFonts w:ascii="Times New Roman" w:hAnsi="Times New Roman" w:cs="Times New Roman"/>
          <w:color w:val="000000" w:themeColor="text1"/>
          <w:sz w:val="24"/>
          <w:szCs w:val="24"/>
        </w:rPr>
      </w:pPr>
      <w:r w:rsidRPr="00547D14">
        <w:rPr>
          <w:rFonts w:ascii="Times New Roman" w:hAnsi="Times New Roman" w:cs="Times New Roman"/>
          <w:color w:val="000000" w:themeColor="text1"/>
          <w:sz w:val="24"/>
          <w:szCs w:val="24"/>
        </w:rPr>
        <w:t xml:space="preserve">Vabariigi Valitsuse 12.05.2022 määruse nr 55 „Perioodi 2021–2027 Euroopa Liidu ühtekuuluvus- ja siseturvalisuspoliitika fondide rakenduskavade vahendite andmise ja kasutamise üldised tingimused“ (edaspidi </w:t>
      </w:r>
      <w:r w:rsidRPr="00547D14">
        <w:rPr>
          <w:rFonts w:ascii="Times New Roman" w:hAnsi="Times New Roman" w:cs="Times New Roman"/>
          <w:b/>
          <w:bCs/>
          <w:i/>
          <w:iCs/>
          <w:color w:val="000000" w:themeColor="text1"/>
          <w:sz w:val="24"/>
          <w:szCs w:val="24"/>
        </w:rPr>
        <w:t>ÜM2022</w:t>
      </w:r>
      <w:r w:rsidRPr="00547D14">
        <w:rPr>
          <w:rFonts w:ascii="Times New Roman" w:hAnsi="Times New Roman" w:cs="Times New Roman"/>
          <w:color w:val="000000" w:themeColor="text1"/>
          <w:sz w:val="24"/>
          <w:szCs w:val="24"/>
        </w:rPr>
        <w:t>) § 34 lg 1 p 2, § 35 lg 1, 3 ja 5; § 36, § 38;</w:t>
      </w:r>
    </w:p>
    <w:p w14:paraId="1824E96F" w14:textId="77777777" w:rsidR="00547D14" w:rsidRPr="00547D14" w:rsidRDefault="00547D14" w:rsidP="00547D14">
      <w:pPr>
        <w:numPr>
          <w:ilvl w:val="0"/>
          <w:numId w:val="22"/>
        </w:numPr>
        <w:spacing w:after="0" w:line="240" w:lineRule="auto"/>
        <w:jc w:val="both"/>
        <w:rPr>
          <w:rFonts w:ascii="Times New Roman" w:hAnsi="Times New Roman" w:cs="Times New Roman"/>
          <w:color w:val="000000" w:themeColor="text1"/>
          <w:sz w:val="24"/>
          <w:szCs w:val="24"/>
        </w:rPr>
      </w:pPr>
      <w:r w:rsidRPr="00547D14">
        <w:rPr>
          <w:rFonts w:ascii="Times New Roman" w:hAnsi="Times New Roman" w:cs="Times New Roman"/>
          <w:color w:val="000000" w:themeColor="text1"/>
          <w:sz w:val="24"/>
          <w:szCs w:val="24"/>
        </w:rPr>
        <w:t xml:space="preserve">Vabariigi Valitsuse 01.09.2014 määruse nr 143 „Perioodi 2014–2020 struktuuritoetusest hüvitatavate kulude abikõlblikuks lugemise, toetuse maksmise ning finantskorrektsioonide tegemise tingimused ja kord“ (edaspidi </w:t>
      </w:r>
      <w:r w:rsidRPr="00547D14">
        <w:rPr>
          <w:rFonts w:ascii="Times New Roman" w:hAnsi="Times New Roman" w:cs="Times New Roman"/>
          <w:b/>
          <w:bCs/>
          <w:i/>
          <w:iCs/>
          <w:color w:val="000000" w:themeColor="text1"/>
          <w:sz w:val="24"/>
          <w:szCs w:val="24"/>
        </w:rPr>
        <w:t>ÜM2014</w:t>
      </w:r>
      <w:r w:rsidRPr="00547D14">
        <w:rPr>
          <w:rFonts w:ascii="Times New Roman" w:hAnsi="Times New Roman" w:cs="Times New Roman"/>
          <w:color w:val="000000" w:themeColor="text1"/>
          <w:sz w:val="24"/>
          <w:szCs w:val="24"/>
        </w:rPr>
        <w:t>) § 22</w:t>
      </w:r>
      <w:r w:rsidRPr="00547D14">
        <w:rPr>
          <w:rFonts w:ascii="Times New Roman" w:hAnsi="Times New Roman" w:cs="Times New Roman"/>
          <w:color w:val="000000" w:themeColor="text1"/>
          <w:sz w:val="24"/>
          <w:szCs w:val="24"/>
          <w:vertAlign w:val="superscript"/>
        </w:rPr>
        <w:t>3</w:t>
      </w:r>
      <w:r w:rsidRPr="00547D14">
        <w:rPr>
          <w:rFonts w:ascii="Times New Roman" w:hAnsi="Times New Roman" w:cs="Times New Roman"/>
          <w:color w:val="000000" w:themeColor="text1"/>
          <w:sz w:val="24"/>
          <w:szCs w:val="24"/>
        </w:rPr>
        <w:t xml:space="preserve"> lg 7 p 2 ja § 22</w:t>
      </w:r>
      <w:r w:rsidRPr="00547D14">
        <w:rPr>
          <w:rFonts w:ascii="Times New Roman" w:hAnsi="Times New Roman" w:cs="Times New Roman"/>
          <w:color w:val="000000" w:themeColor="text1"/>
          <w:sz w:val="24"/>
          <w:szCs w:val="24"/>
          <w:vertAlign w:val="superscript"/>
        </w:rPr>
        <w:t>4</w:t>
      </w:r>
      <w:r w:rsidRPr="00547D14">
        <w:rPr>
          <w:rFonts w:ascii="Times New Roman" w:hAnsi="Times New Roman" w:cs="Times New Roman"/>
          <w:color w:val="000000" w:themeColor="text1"/>
          <w:sz w:val="24"/>
          <w:szCs w:val="24"/>
        </w:rPr>
        <w:t xml:space="preserve"> lg 2;</w:t>
      </w:r>
    </w:p>
    <w:p w14:paraId="5B1C061D" w14:textId="77777777" w:rsidR="00547D14" w:rsidRPr="00547D14" w:rsidRDefault="00547D14" w:rsidP="00547D14">
      <w:pPr>
        <w:numPr>
          <w:ilvl w:val="0"/>
          <w:numId w:val="22"/>
        </w:numPr>
        <w:spacing w:after="0" w:line="240" w:lineRule="auto"/>
        <w:contextualSpacing/>
        <w:jc w:val="both"/>
        <w:rPr>
          <w:rFonts w:ascii="Times New Roman" w:hAnsi="Times New Roman" w:cs="Times New Roman"/>
          <w:color w:val="000000" w:themeColor="text1"/>
          <w:sz w:val="24"/>
          <w:szCs w:val="24"/>
        </w:rPr>
      </w:pPr>
      <w:r w:rsidRPr="00547D14">
        <w:rPr>
          <w:rFonts w:ascii="Times New Roman" w:hAnsi="Times New Roman" w:cs="Times New Roman"/>
          <w:color w:val="000000" w:themeColor="text1"/>
          <w:sz w:val="24"/>
          <w:szCs w:val="24"/>
        </w:rPr>
        <w:t xml:space="preserve">riigihalduse ministri 24.10.2023 määruse nr 73 „Toetuse andmise tingimused ning kord toetusskeemis „Piirkondlike algatuste toetus õiglaseks üleminekuks““ (edaspidi </w:t>
      </w:r>
      <w:r w:rsidRPr="00547D14">
        <w:rPr>
          <w:rFonts w:ascii="Times New Roman" w:hAnsi="Times New Roman" w:cs="Times New Roman"/>
          <w:b/>
          <w:bCs/>
          <w:i/>
          <w:iCs/>
          <w:color w:val="000000" w:themeColor="text1"/>
          <w:sz w:val="24"/>
          <w:szCs w:val="24"/>
        </w:rPr>
        <w:t>meetme määrus</w:t>
      </w:r>
      <w:r w:rsidRPr="00547D14">
        <w:rPr>
          <w:rFonts w:ascii="Times New Roman" w:hAnsi="Times New Roman" w:cs="Times New Roman"/>
          <w:color w:val="000000" w:themeColor="text1"/>
          <w:sz w:val="24"/>
          <w:szCs w:val="24"/>
        </w:rPr>
        <w:t xml:space="preserve">) § 35; </w:t>
      </w:r>
    </w:p>
    <w:p w14:paraId="5D23689D" w14:textId="77777777" w:rsidR="00547D14" w:rsidRPr="00547D14" w:rsidRDefault="00547D14" w:rsidP="00547D14">
      <w:pPr>
        <w:numPr>
          <w:ilvl w:val="0"/>
          <w:numId w:val="22"/>
        </w:numPr>
        <w:spacing w:after="0" w:line="240" w:lineRule="auto"/>
        <w:jc w:val="both"/>
        <w:rPr>
          <w:rFonts w:ascii="Times New Roman" w:hAnsi="Times New Roman" w:cs="Times New Roman"/>
          <w:color w:val="000000" w:themeColor="text1"/>
          <w:sz w:val="24"/>
          <w:szCs w:val="24"/>
        </w:rPr>
      </w:pPr>
      <w:r w:rsidRPr="00547D14">
        <w:rPr>
          <w:rFonts w:ascii="Times New Roman" w:hAnsi="Times New Roman" w:cs="Times New Roman"/>
          <w:color w:val="000000" w:themeColor="text1"/>
          <w:sz w:val="24"/>
          <w:szCs w:val="24"/>
        </w:rPr>
        <w:t xml:space="preserve">Riigi Tugiteenuste Keskuse (eelnevalt ja edaspidi </w:t>
      </w:r>
      <w:r w:rsidRPr="00547D14">
        <w:rPr>
          <w:rFonts w:ascii="Times New Roman" w:hAnsi="Times New Roman" w:cs="Times New Roman"/>
          <w:i/>
          <w:iCs/>
          <w:color w:val="000000" w:themeColor="text1"/>
          <w:sz w:val="24"/>
          <w:szCs w:val="24"/>
        </w:rPr>
        <w:t>rakendusüksus</w:t>
      </w:r>
      <w:r w:rsidRPr="00547D14">
        <w:rPr>
          <w:rFonts w:ascii="Times New Roman" w:hAnsi="Times New Roman" w:cs="Times New Roman"/>
          <w:color w:val="000000" w:themeColor="text1"/>
          <w:sz w:val="24"/>
          <w:szCs w:val="24"/>
        </w:rPr>
        <w:t xml:space="preserve">) 12.08.2024 toetuse taotluse rahuldamise otsus nr 11.2-57/24/926 (edaspidi </w:t>
      </w:r>
      <w:r w:rsidRPr="00547D14">
        <w:rPr>
          <w:rFonts w:ascii="Times New Roman" w:hAnsi="Times New Roman" w:cs="Times New Roman"/>
          <w:b/>
          <w:bCs/>
          <w:i/>
          <w:iCs/>
          <w:color w:val="000000" w:themeColor="text1"/>
          <w:sz w:val="24"/>
          <w:szCs w:val="24"/>
        </w:rPr>
        <w:t>TRO</w:t>
      </w:r>
      <w:r w:rsidRPr="00547D14">
        <w:rPr>
          <w:rFonts w:ascii="Times New Roman" w:hAnsi="Times New Roman" w:cs="Times New Roman"/>
          <w:color w:val="000000" w:themeColor="text1"/>
          <w:sz w:val="24"/>
          <w:szCs w:val="24"/>
        </w:rPr>
        <w:t>) punkt 9;</w:t>
      </w:r>
    </w:p>
    <w:p w14:paraId="3EA39839" w14:textId="6683153F" w:rsidR="00547D14" w:rsidRPr="00547D14" w:rsidRDefault="00547D14" w:rsidP="00547D14">
      <w:pPr>
        <w:numPr>
          <w:ilvl w:val="0"/>
          <w:numId w:val="22"/>
        </w:numPr>
        <w:spacing w:after="0" w:line="240" w:lineRule="auto"/>
        <w:jc w:val="both"/>
        <w:rPr>
          <w:rFonts w:ascii="Times New Roman" w:hAnsi="Times New Roman" w:cs="Times New Roman"/>
          <w:color w:val="000000" w:themeColor="text1"/>
          <w:sz w:val="24"/>
          <w:szCs w:val="24"/>
        </w:rPr>
      </w:pPr>
      <w:r w:rsidRPr="00547D14">
        <w:rPr>
          <w:rFonts w:ascii="Times New Roman" w:hAnsi="Times New Roman" w:cs="Times New Roman"/>
          <w:color w:val="000000" w:themeColor="text1"/>
          <w:sz w:val="24"/>
          <w:szCs w:val="24"/>
        </w:rPr>
        <w:t xml:space="preserve">riigihangete seaduse (edaspidi </w:t>
      </w:r>
      <w:r w:rsidRPr="00547D14">
        <w:rPr>
          <w:rFonts w:ascii="Times New Roman" w:hAnsi="Times New Roman" w:cs="Times New Roman"/>
          <w:b/>
          <w:bCs/>
          <w:i/>
          <w:iCs/>
          <w:color w:val="000000" w:themeColor="text1"/>
          <w:sz w:val="24"/>
          <w:szCs w:val="24"/>
        </w:rPr>
        <w:t>RHS</w:t>
      </w:r>
      <w:r w:rsidRPr="00547D14">
        <w:rPr>
          <w:rFonts w:ascii="Times New Roman" w:hAnsi="Times New Roman" w:cs="Times New Roman"/>
          <w:color w:val="000000" w:themeColor="text1"/>
          <w:sz w:val="24"/>
          <w:szCs w:val="24"/>
        </w:rPr>
        <w:t>) § 3 p-d 1-3 ja 5, § 77 lg 4 p 4 ja § 52 lg 4.</w:t>
      </w:r>
    </w:p>
    <w:p w14:paraId="251393C8" w14:textId="77777777" w:rsidR="00547D14" w:rsidRPr="00547D14" w:rsidRDefault="00547D14" w:rsidP="00547D14">
      <w:pPr>
        <w:spacing w:before="240" w:after="240" w:line="240" w:lineRule="auto"/>
        <w:jc w:val="both"/>
        <w:rPr>
          <w:rFonts w:ascii="Times New Roman" w:eastAsia="Calibri" w:hAnsi="Times New Roman" w:cs="Times New Roman"/>
          <w:b/>
          <w:bCs/>
          <w:color w:val="000000" w:themeColor="text1"/>
          <w:sz w:val="24"/>
          <w:szCs w:val="24"/>
        </w:rPr>
      </w:pPr>
      <w:bookmarkStart w:id="3" w:name="asjaolud_ja_toetuse_saaja_selgitused"/>
      <w:r w:rsidRPr="00547D14">
        <w:rPr>
          <w:rFonts w:ascii="Times New Roman" w:eastAsia="Calibri" w:hAnsi="Times New Roman" w:cs="Times New Roman"/>
          <w:b/>
          <w:bCs/>
          <w:color w:val="000000" w:themeColor="text1"/>
          <w:sz w:val="24"/>
          <w:szCs w:val="24"/>
        </w:rPr>
        <w:t xml:space="preserve">ASJAOLUD </w:t>
      </w:r>
    </w:p>
    <w:bookmarkEnd w:id="3"/>
    <w:p w14:paraId="7B1927A9"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Sihtasutus Alutagusemaa (edaspidi </w:t>
      </w:r>
      <w:r w:rsidRPr="00547D14">
        <w:rPr>
          <w:rFonts w:ascii="Times New Roman" w:eastAsia="Calibri" w:hAnsi="Times New Roman" w:cs="Times New Roman"/>
          <w:i/>
          <w:iCs/>
          <w:sz w:val="24"/>
          <w:szCs w:val="24"/>
        </w:rPr>
        <w:t xml:space="preserve">toetuse saaja </w:t>
      </w:r>
      <w:r w:rsidRPr="00547D14">
        <w:rPr>
          <w:rFonts w:ascii="Times New Roman" w:eastAsia="Calibri" w:hAnsi="Times New Roman" w:cs="Times New Roman"/>
          <w:sz w:val="24"/>
          <w:szCs w:val="24"/>
        </w:rPr>
        <w:t xml:space="preserve">või </w:t>
      </w:r>
      <w:r w:rsidRPr="00547D14">
        <w:rPr>
          <w:rFonts w:ascii="Times New Roman" w:eastAsia="Calibri" w:hAnsi="Times New Roman" w:cs="Times New Roman"/>
          <w:i/>
          <w:iCs/>
          <w:sz w:val="24"/>
          <w:szCs w:val="24"/>
        </w:rPr>
        <w:t>hankija</w:t>
      </w:r>
      <w:r w:rsidRPr="00547D14">
        <w:rPr>
          <w:rFonts w:ascii="Times New Roman" w:eastAsia="Calibri" w:hAnsi="Times New Roman" w:cs="Times New Roman"/>
          <w:sz w:val="24"/>
          <w:szCs w:val="24"/>
        </w:rPr>
        <w:t xml:space="preserve">) korraldas projekti nr 2021-2027.6.01.24-0498 „Alajõe kogukonnamaja“ (edaspidi </w:t>
      </w:r>
      <w:r w:rsidRPr="00547D14">
        <w:rPr>
          <w:rFonts w:ascii="Times New Roman" w:eastAsia="Calibri" w:hAnsi="Times New Roman" w:cs="Times New Roman"/>
          <w:i/>
          <w:iCs/>
          <w:sz w:val="24"/>
          <w:szCs w:val="24"/>
        </w:rPr>
        <w:t>projekt</w:t>
      </w:r>
      <w:r w:rsidRPr="00547D14">
        <w:rPr>
          <w:rFonts w:ascii="Times New Roman" w:eastAsia="Calibri" w:hAnsi="Times New Roman" w:cs="Times New Roman"/>
          <w:sz w:val="24"/>
          <w:szCs w:val="24"/>
        </w:rPr>
        <w:t xml:space="preserve">) raames riigihangete registris (edaspidi </w:t>
      </w:r>
      <w:r w:rsidRPr="00547D14">
        <w:rPr>
          <w:rFonts w:ascii="Times New Roman" w:eastAsia="Calibri" w:hAnsi="Times New Roman" w:cs="Times New Roman"/>
          <w:i/>
          <w:iCs/>
          <w:sz w:val="24"/>
          <w:szCs w:val="24"/>
        </w:rPr>
        <w:t>RHR</w:t>
      </w:r>
      <w:r w:rsidRPr="00547D14">
        <w:rPr>
          <w:rFonts w:ascii="Times New Roman" w:eastAsia="Calibri" w:hAnsi="Times New Roman" w:cs="Times New Roman"/>
          <w:sz w:val="24"/>
          <w:szCs w:val="24"/>
        </w:rPr>
        <w:t xml:space="preserve">) avatud hankemenetlusena rahvusvahelise riigihanke </w:t>
      </w:r>
      <w:bookmarkStart w:id="4" w:name="_Hlk187308363"/>
      <w:r w:rsidRPr="00547D14">
        <w:rPr>
          <w:rFonts w:ascii="Times New Roman" w:eastAsia="Calibri" w:hAnsi="Times New Roman" w:cs="Times New Roman"/>
          <w:sz w:val="24"/>
          <w:szCs w:val="24"/>
        </w:rPr>
        <w:t xml:space="preserve">„Alajõe kogukonnamaja külastustaristu projekteerimine“ </w:t>
      </w:r>
      <w:bookmarkEnd w:id="4"/>
      <w:r w:rsidRPr="00547D14">
        <w:rPr>
          <w:rFonts w:ascii="Times New Roman" w:eastAsia="Calibri" w:hAnsi="Times New Roman" w:cs="Times New Roman"/>
          <w:sz w:val="24"/>
          <w:szCs w:val="24"/>
        </w:rPr>
        <w:t xml:space="preserve">viitenumbriga 283350 (hanketeade avaldati 19.08.2024; edaspidi </w:t>
      </w:r>
      <w:r w:rsidRPr="00547D14">
        <w:rPr>
          <w:rFonts w:ascii="Times New Roman" w:eastAsia="Calibri" w:hAnsi="Times New Roman" w:cs="Times New Roman"/>
          <w:i/>
          <w:iCs/>
          <w:sz w:val="24"/>
          <w:szCs w:val="24"/>
        </w:rPr>
        <w:t>riigihange</w:t>
      </w:r>
      <w:r w:rsidRPr="00547D14">
        <w:rPr>
          <w:rFonts w:ascii="Times New Roman" w:eastAsia="Calibri" w:hAnsi="Times New Roman" w:cs="Times New Roman"/>
          <w:sz w:val="24"/>
          <w:szCs w:val="24"/>
        </w:rPr>
        <w:t xml:space="preserve">) eeldatava maksumusega 35 000 eurot ja pakkumuste esitamise tähtajaga 02.09.2024. Nimetatud tähtajaks esitati 7 pakkumust, mis kõik tunnistati 02.09.2024 vastavaks. Hankija tunnistas samal päeval esialgu edukaks pakkujaks majanduslikult kõige soodsama pakkumuse (hinna alusel 23 940 eurot) teinud pakkuja TO Projekt OÜ (12772446; edaspidi </w:t>
      </w:r>
      <w:r w:rsidRPr="00547D14">
        <w:rPr>
          <w:rFonts w:ascii="Times New Roman" w:eastAsia="Calibri" w:hAnsi="Times New Roman" w:cs="Times New Roman"/>
          <w:i/>
          <w:iCs/>
          <w:sz w:val="24"/>
          <w:szCs w:val="24"/>
        </w:rPr>
        <w:t>esialgne edukas pakkuja</w:t>
      </w:r>
      <w:r w:rsidRPr="00547D14">
        <w:rPr>
          <w:rFonts w:ascii="Times New Roman" w:eastAsia="Calibri" w:hAnsi="Times New Roman" w:cs="Times New Roman"/>
          <w:sz w:val="24"/>
          <w:szCs w:val="24"/>
        </w:rPr>
        <w:t xml:space="preserve">). Esialgse eduka pakkujaga aga hankelepingut ei sõlmitud (põhjendus: pakkuja ei allkirjastanud hankelepingut hankija antud tähtaja jooksul) ja hankija tunnistas 01.10.2024 edukaks paremusjärjestuse alusel teisel positsioonil paiknenud pakkuja INSENERIBÜROO URMAS NUGIN OÜ (10696600; edaspidi </w:t>
      </w:r>
      <w:r w:rsidRPr="00547D14">
        <w:rPr>
          <w:rFonts w:ascii="Times New Roman" w:eastAsia="Calibri" w:hAnsi="Times New Roman" w:cs="Times New Roman"/>
          <w:i/>
          <w:iCs/>
          <w:sz w:val="24"/>
          <w:szCs w:val="24"/>
        </w:rPr>
        <w:t>edukas pakkuja</w:t>
      </w:r>
      <w:r w:rsidRPr="00547D14">
        <w:rPr>
          <w:rFonts w:ascii="Times New Roman" w:eastAsia="Calibri" w:hAnsi="Times New Roman" w:cs="Times New Roman"/>
          <w:sz w:val="24"/>
          <w:szCs w:val="24"/>
        </w:rPr>
        <w:t>) pakkumuse maksumusega 28 505 eurot (käibemaksuta).</w:t>
      </w:r>
    </w:p>
    <w:p w14:paraId="0F136D97"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Eduka pakkujaga sõlmiti 18.10.2024 hankeleping „Alajõe kogukonnamaja külastustaristu projekteerimine“ nr 02/2024“ (edaspidi </w:t>
      </w:r>
      <w:r w:rsidRPr="00547D14">
        <w:rPr>
          <w:rFonts w:ascii="Times New Roman" w:eastAsia="Calibri" w:hAnsi="Times New Roman" w:cs="Times New Roman"/>
          <w:i/>
          <w:iCs/>
          <w:sz w:val="24"/>
          <w:szCs w:val="24"/>
        </w:rPr>
        <w:t>hankeleping</w:t>
      </w:r>
      <w:r w:rsidRPr="00547D14">
        <w:rPr>
          <w:rFonts w:ascii="Times New Roman" w:eastAsia="Calibri" w:hAnsi="Times New Roman" w:cs="Times New Roman"/>
          <w:sz w:val="24"/>
          <w:szCs w:val="24"/>
        </w:rPr>
        <w:t xml:space="preserve">) täitmise tähtajaga RHR-i andmetel 18.04.2025. </w:t>
      </w:r>
    </w:p>
    <w:p w14:paraId="7760029C"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Tuvastatud rikkumised:</w:t>
      </w:r>
    </w:p>
    <w:p w14:paraId="395102D3" w14:textId="0AFF4A6B" w:rsidR="00547D14" w:rsidRPr="00547D14" w:rsidRDefault="00547D14" w:rsidP="00547D14">
      <w:pPr>
        <w:numPr>
          <w:ilvl w:val="1"/>
          <w:numId w:val="7"/>
        </w:numPr>
        <w:spacing w:before="240" w:after="240" w:line="240" w:lineRule="auto"/>
        <w:contextualSpacing/>
        <w:jc w:val="both"/>
        <w:rPr>
          <w:rFonts w:ascii="Times New Roman" w:eastAsia="Calibri" w:hAnsi="Times New Roman" w:cs="Times New Roman"/>
          <w:sz w:val="24"/>
          <w:szCs w:val="24"/>
          <w:u w:val="single"/>
        </w:rPr>
      </w:pPr>
      <w:r w:rsidRPr="00547D14">
        <w:rPr>
          <w:rFonts w:ascii="Times New Roman" w:eastAsia="Calibri" w:hAnsi="Times New Roman" w:cs="Times New Roman"/>
          <w:sz w:val="24"/>
          <w:szCs w:val="24"/>
        </w:rPr>
        <w:t xml:space="preserve"> </w:t>
      </w:r>
      <w:r w:rsidRPr="00547D14">
        <w:rPr>
          <w:rFonts w:ascii="Times New Roman" w:eastAsia="Calibri" w:hAnsi="Times New Roman" w:cs="Times New Roman"/>
          <w:sz w:val="24"/>
          <w:szCs w:val="24"/>
        </w:rPr>
        <w:tab/>
      </w:r>
      <w:r w:rsidRPr="00547D14">
        <w:rPr>
          <w:rFonts w:ascii="Times New Roman" w:eastAsia="Calibri" w:hAnsi="Times New Roman" w:cs="Times New Roman"/>
          <w:sz w:val="24"/>
          <w:szCs w:val="24"/>
          <w:u w:val="single"/>
        </w:rPr>
        <w:t>Riigihanke alusdokumentides ei ole sätestatud kõiki tulevase hankelepingu olulisi tingimusi</w:t>
      </w:r>
    </w:p>
    <w:p w14:paraId="73E61EB5" w14:textId="77777777" w:rsidR="00547D14" w:rsidRPr="00547D14" w:rsidRDefault="00547D14" w:rsidP="00547D14">
      <w:pPr>
        <w:spacing w:before="240" w:after="240" w:line="240" w:lineRule="auto"/>
        <w:ind w:left="360"/>
        <w:contextualSpacing/>
        <w:jc w:val="both"/>
        <w:rPr>
          <w:rFonts w:ascii="Times New Roman" w:eastAsia="Calibri" w:hAnsi="Times New Roman" w:cs="Times New Roman"/>
          <w:sz w:val="24"/>
          <w:szCs w:val="24"/>
          <w:u w:val="single"/>
        </w:rPr>
      </w:pPr>
    </w:p>
    <w:p w14:paraId="5E34FF96" w14:textId="77777777" w:rsidR="00547D14" w:rsidRPr="00547D14" w:rsidRDefault="00547D14" w:rsidP="00547D14">
      <w:pPr>
        <w:numPr>
          <w:ilvl w:val="2"/>
          <w:numId w:val="7"/>
        </w:numPr>
        <w:spacing w:before="240" w:after="240" w:line="240" w:lineRule="auto"/>
        <w:ind w:hanging="11"/>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RHR-i on hanke juurde lisatud järgmised kehtivad riigihanke alusdokumendid:</w:t>
      </w:r>
    </w:p>
    <w:p w14:paraId="323E04D2" w14:textId="77777777" w:rsidR="00547D14" w:rsidRPr="00547D14" w:rsidRDefault="00547D14" w:rsidP="00547D14">
      <w:pPr>
        <w:numPr>
          <w:ilvl w:val="1"/>
          <w:numId w:val="2"/>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Lähteülesanne</w:t>
      </w:r>
      <w:r w:rsidRPr="00547D14">
        <w:rPr>
          <w:rFonts w:ascii="Times New Roman" w:eastAsia="Calibri" w:hAnsi="Times New Roman" w:cs="Times New Roman"/>
          <w:sz w:val="24"/>
          <w:szCs w:val="24"/>
        </w:rPr>
        <w:tab/>
        <w:t xml:space="preserve"> 22.08.2024</w:t>
      </w:r>
      <w:r w:rsidRPr="00547D14">
        <w:rPr>
          <w:rFonts w:ascii="Times New Roman" w:eastAsia="Calibri" w:hAnsi="Times New Roman" w:cs="Times New Roman"/>
          <w:sz w:val="24"/>
          <w:szCs w:val="24"/>
        </w:rPr>
        <w:tab/>
      </w:r>
    </w:p>
    <w:p w14:paraId="104BB246" w14:textId="77777777" w:rsidR="00547D14" w:rsidRPr="00547D14" w:rsidRDefault="00547D14" w:rsidP="00547D14">
      <w:pPr>
        <w:numPr>
          <w:ilvl w:val="1"/>
          <w:numId w:val="2"/>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Detailplaneeringu põhijoonis v2 22.08.2024</w:t>
      </w:r>
      <w:r w:rsidRPr="00547D14">
        <w:rPr>
          <w:rFonts w:ascii="Times New Roman" w:eastAsia="Calibri" w:hAnsi="Times New Roman" w:cs="Times New Roman"/>
          <w:sz w:val="24"/>
          <w:szCs w:val="24"/>
        </w:rPr>
        <w:tab/>
      </w:r>
    </w:p>
    <w:p w14:paraId="4302F3EE" w14:textId="77777777" w:rsidR="00547D14" w:rsidRPr="00547D14" w:rsidRDefault="00547D14" w:rsidP="00547D14">
      <w:pPr>
        <w:numPr>
          <w:ilvl w:val="1"/>
          <w:numId w:val="2"/>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Mahutabel 19.08.2024 </w:t>
      </w:r>
    </w:p>
    <w:p w14:paraId="6354DCC2" w14:textId="77777777" w:rsidR="00547D14" w:rsidRPr="00547D14" w:rsidRDefault="00547D14" w:rsidP="00547D14">
      <w:pPr>
        <w:numPr>
          <w:ilvl w:val="1"/>
          <w:numId w:val="2"/>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Asendiskeem</w:t>
      </w:r>
      <w:r w:rsidRPr="00547D14">
        <w:rPr>
          <w:rFonts w:ascii="Times New Roman" w:eastAsia="Calibri" w:hAnsi="Times New Roman" w:cs="Times New Roman"/>
          <w:sz w:val="24"/>
          <w:szCs w:val="24"/>
        </w:rPr>
        <w:tab/>
        <w:t>19.08.2024</w:t>
      </w:r>
    </w:p>
    <w:p w14:paraId="49A5DC83" w14:textId="77777777" w:rsidR="00547D14" w:rsidRPr="00547D14" w:rsidRDefault="00547D14" w:rsidP="00547D14">
      <w:pPr>
        <w:numPr>
          <w:ilvl w:val="1"/>
          <w:numId w:val="2"/>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Hindamiskriteeriumid ja hinnatavad näitajad 15.08.2024</w:t>
      </w:r>
    </w:p>
    <w:p w14:paraId="7B0965DA" w14:textId="77777777" w:rsidR="00547D14" w:rsidRPr="00547D14" w:rsidRDefault="00547D14" w:rsidP="00547D14">
      <w:pPr>
        <w:numPr>
          <w:ilvl w:val="1"/>
          <w:numId w:val="2"/>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Vastavustingimused 15.08.2024</w:t>
      </w:r>
    </w:p>
    <w:p w14:paraId="32955B5A" w14:textId="77777777" w:rsidR="00547D14" w:rsidRPr="00547D14" w:rsidRDefault="00547D14" w:rsidP="00547D14">
      <w:pPr>
        <w:numPr>
          <w:ilvl w:val="1"/>
          <w:numId w:val="2"/>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lastRenderedPageBreak/>
        <w:t>Hankepass rahvusvahelises formaadis (ESPD) v2.0 laiendatud 15.08.2024</w:t>
      </w:r>
    </w:p>
    <w:p w14:paraId="26DE489D" w14:textId="77777777" w:rsidR="00547D14" w:rsidRDefault="00547D14" w:rsidP="00547D14">
      <w:pPr>
        <w:numPr>
          <w:ilvl w:val="1"/>
          <w:numId w:val="2"/>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Hankepass täiendatavate selgitustega 15.08.2024</w:t>
      </w:r>
      <w:r w:rsidRPr="00547D14">
        <w:rPr>
          <w:rFonts w:ascii="Times New Roman" w:eastAsia="Calibri" w:hAnsi="Times New Roman" w:cs="Times New Roman"/>
          <w:sz w:val="24"/>
          <w:szCs w:val="24"/>
        </w:rPr>
        <w:tab/>
      </w:r>
    </w:p>
    <w:p w14:paraId="5512A083" w14:textId="77777777" w:rsidR="00547D14" w:rsidRPr="00547D14" w:rsidRDefault="00547D14" w:rsidP="00547D14">
      <w:pPr>
        <w:spacing w:before="240" w:after="240" w:line="240" w:lineRule="auto"/>
        <w:ind w:left="720"/>
        <w:contextualSpacing/>
        <w:jc w:val="both"/>
        <w:rPr>
          <w:rFonts w:ascii="Times New Roman" w:eastAsia="Calibri" w:hAnsi="Times New Roman" w:cs="Times New Roman"/>
          <w:sz w:val="24"/>
          <w:szCs w:val="24"/>
        </w:rPr>
      </w:pPr>
    </w:p>
    <w:p w14:paraId="38947C5D"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Riigihanke alusdokumendid ei sisalda tulevase hankelepingu tingimusi, sh puudub ka hankelepingu projekt. Toetuse saaja ei ole järginud RHS-i § 77 lg 4 punkti 4.</w:t>
      </w:r>
    </w:p>
    <w:p w14:paraId="3373C0A5" w14:textId="46A4B62E" w:rsidR="00547D14" w:rsidRPr="00547D14" w:rsidRDefault="00547D14" w:rsidP="00547D14">
      <w:pPr>
        <w:numPr>
          <w:ilvl w:val="1"/>
          <w:numId w:val="7"/>
        </w:numPr>
        <w:spacing w:before="240" w:after="240" w:line="240" w:lineRule="auto"/>
        <w:ind w:left="357" w:hanging="357"/>
        <w:jc w:val="both"/>
        <w:rPr>
          <w:rFonts w:ascii="Times New Roman" w:eastAsia="Calibri" w:hAnsi="Times New Roman" w:cs="Times New Roman"/>
          <w:sz w:val="24"/>
          <w:szCs w:val="24"/>
          <w:u w:val="single"/>
        </w:rPr>
      </w:pPr>
      <w:r w:rsidRPr="00547D14">
        <w:rPr>
          <w:rFonts w:ascii="Times New Roman" w:eastAsia="Calibri" w:hAnsi="Times New Roman" w:cs="Times New Roman"/>
          <w:sz w:val="24"/>
          <w:szCs w:val="24"/>
          <w:u w:val="single"/>
        </w:rPr>
        <w:t>Avatud hankemenetluses on peetud läbirääkimisi</w:t>
      </w:r>
    </w:p>
    <w:p w14:paraId="7AB25101"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Hankija ei ole hankemenetluse ajal riigihanke alusdokumentide hulka lisanud hankelepingu projekti ega ka muul kujul avalikustanud hankelepingu tingimusi.</w:t>
      </w:r>
    </w:p>
    <w:p w14:paraId="25DA961D"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Hankija esitas 18.09.2024 esialgsele edukale pakkujale hankelepingu projekti, mis oli ka esimene versioon hankelepingust, millega esialgne edukas pakkuja esimest korda tutvuda sai.</w:t>
      </w:r>
    </w:p>
    <w:p w14:paraId="4DBDAF06"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Esialgne edukas pakkuja kinnitas, et samal päeval (18.09.2024) toimus hankija esindajate ja esialgse eduka pakkuja esindajate kohtumine riigihankes kirjeldatud objekti asukohas Alajõel. Esialgse eduka pakkuja sõnul arutati mitmeid teemasid, nt ujuv- või pontoonsilla projekteerimisega seonduv. Edukas pakkuja mainib, et hankija esitas suuliselt tingimuse, et hanke mahus on vajalik projekteerida sild, mille alt paadid saavad läbi sõita ehk silladeki alumine äär min 2 m veepinnast ja veepind võib ca 1 m võrra muutuda. Lisades, et hankedokumentidest ja hankija vastusest registris hanke ajal võis selgelt aru saada, et sild on ujuvsild pontoonidega (RHR-i teabevahetuses ID 877545, 878152). Samuti nimetati koosolekul paadislipi, paadisilla ja kaldakindlustuse projekteerimise vajadust käesoleva hanke mahus, mida ei olnud nimetatud hankedokumentides.</w:t>
      </w:r>
    </w:p>
    <w:p w14:paraId="00F066E1"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Esialgne edukas pakkuja teavitas 19.09.2024 hankijat e-kirjaga, et suuliselt vahetatud ning 18.09.2024 e-kirjana saadud lepingu projektis oleva informatsiooni alusel on tõusnud esile täiendavad asjaolud (e-kirjale oli lisatud hankelepingu projekt kommentaaride ja analüüsiga kohtumisel tellija poolt esitatud info ning riigihanke dokumentide vahel), mis takistavad riigihanke lepingu sõlmimist.</w:t>
      </w:r>
    </w:p>
    <w:p w14:paraId="21A77638"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Esialgne edukas pakkuja andis e-kirjas mõista, et riigihanke dokumentides esitatud info ning 18.09.2024 kohtumisel saadud info (kohtumisel vahetatud suuline info ja e-kirjana saadud lepingu projekt) ei vasta riigihanke dokumentidele. Lisades, et need ei ole omavahel kooskõlas ning tasakaalus ning seab lepingu täitmise võimalikkuse kahtluse alla.</w:t>
      </w:r>
    </w:p>
    <w:p w14:paraId="306F09D4"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Eelnimetatud e-kirjas andis esialgne edukas pakkuja hinnangu: „</w:t>
      </w:r>
      <w:r w:rsidRPr="00547D14">
        <w:rPr>
          <w:rFonts w:ascii="Times New Roman" w:eastAsia="Calibri" w:hAnsi="Times New Roman" w:cs="Times New Roman"/>
          <w:i/>
          <w:iCs/>
          <w:sz w:val="24"/>
          <w:szCs w:val="24"/>
        </w:rPr>
        <w:t>Lepingu projektis ei ole esitatud poolte kohustused tasakaalus, mis seab ühele poolele (antud juhul täitjale) täiendavad kohustused ning nende võtmisega seotud riskid. Kohtumisel esitatud täiendav info baasil võib öelda, et riigihankes esitatud info ei olnud riigihanke alusdokumentides ammendavalt kindlaks määratud</w:t>
      </w:r>
      <w:r w:rsidRPr="00547D14">
        <w:rPr>
          <w:rFonts w:ascii="Times New Roman" w:eastAsia="Calibri" w:hAnsi="Times New Roman" w:cs="Times New Roman"/>
          <w:sz w:val="24"/>
          <w:szCs w:val="24"/>
        </w:rPr>
        <w:t>.“, viidates RHS § 85 lõikele 4.</w:t>
      </w:r>
    </w:p>
    <w:p w14:paraId="2ED8D3EF"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Hankija edastas 27.09.2024 RHR-i kaudu esialgsele edukale pakkujale mõnede muudatustega hankelepingu projekti ning lisas, et töö sisu, mahu jm hanke tingimuste osas muutusi teha ei saa ning andis lepingu allkirjastamiseks tähtaja 30.09.2024 (ID 888309).</w:t>
      </w:r>
    </w:p>
    <w:p w14:paraId="4F4745B6"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Esialgne edukas pakkuja vastas hankijale e-kirja teel ja andis teada, et tutvuti hoolikalt hankija poolt 27.09.2024 RHR-i kaudu edastatud lepingu projektiga ning kommentaaridega. Koos e-kirjaga edastas esialgne edukas pakkuja lepingu projekti mõnede märkustega selle kohta, mis esialgse eduka pakkuja arvates tuleks enne allkirjastamist täpsustada ning lisada puuduv info.</w:t>
      </w:r>
    </w:p>
    <w:p w14:paraId="471533D4" w14:textId="235B1B53" w:rsidR="00547D14" w:rsidRPr="00547D14" w:rsidRDefault="00547D14" w:rsidP="00547D14">
      <w:pPr>
        <w:numPr>
          <w:ilvl w:val="2"/>
          <w:numId w:val="7"/>
        </w:numPr>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Võrdlus 18.09.2024 esialgsele edukale pakkujale esitatud esimene versioon hankelepingu projektist ja 27.09.2024 RHR-i kaudu esitatud hankelepingu vahel on esitatud tabelis 1 ja esialgse eduka pakkuja kommentaarid hankelepingu projekti muutmiseks käesoleva otsuse (edaspidi </w:t>
      </w:r>
      <w:r w:rsidRPr="00547D14">
        <w:rPr>
          <w:rFonts w:ascii="Times New Roman" w:eastAsia="Calibri" w:hAnsi="Times New Roman" w:cs="Times New Roman"/>
          <w:i/>
          <w:iCs/>
          <w:sz w:val="24"/>
          <w:szCs w:val="24"/>
        </w:rPr>
        <w:t>FKO</w:t>
      </w:r>
      <w:r w:rsidRPr="00547D14">
        <w:rPr>
          <w:rFonts w:ascii="Times New Roman" w:eastAsia="Calibri" w:hAnsi="Times New Roman" w:cs="Times New Roman"/>
          <w:sz w:val="24"/>
          <w:szCs w:val="24"/>
        </w:rPr>
        <w:t>) lisas 1.</w:t>
      </w:r>
    </w:p>
    <w:p w14:paraId="13721BAB" w14:textId="77777777" w:rsidR="00547D14" w:rsidRPr="00547D14" w:rsidRDefault="00547D14" w:rsidP="00547D14">
      <w:pPr>
        <w:numPr>
          <w:ilvl w:val="2"/>
          <w:numId w:val="7"/>
        </w:numPr>
        <w:spacing w:after="240"/>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lastRenderedPageBreak/>
        <w:t>Tabel 1</w:t>
      </w:r>
    </w:p>
    <w:tbl>
      <w:tblPr>
        <w:tblStyle w:val="TableGrid"/>
        <w:tblW w:w="0" w:type="auto"/>
        <w:tblLook w:val="04A0" w:firstRow="1" w:lastRow="0" w:firstColumn="1" w:lastColumn="0" w:noHBand="0" w:noVBand="1"/>
      </w:tblPr>
      <w:tblGrid>
        <w:gridCol w:w="4531"/>
        <w:gridCol w:w="4531"/>
      </w:tblGrid>
      <w:tr w:rsidR="00547D14" w:rsidRPr="00547D14" w14:paraId="1BF1754E" w14:textId="77777777" w:rsidTr="00721D5F">
        <w:tc>
          <w:tcPr>
            <w:tcW w:w="4531" w:type="dxa"/>
          </w:tcPr>
          <w:p w14:paraId="1B9C25D2" w14:textId="77777777" w:rsidR="00547D14" w:rsidRPr="00547D14" w:rsidRDefault="00547D14" w:rsidP="00547D14">
            <w:pPr>
              <w:spacing w:after="160" w:line="259" w:lineRule="auto"/>
              <w:ind w:left="720"/>
              <w:contextualSpacing/>
              <w:jc w:val="both"/>
              <w:rPr>
                <w:rFonts w:ascii="Times New Roman" w:eastAsia="Calibri" w:hAnsi="Times New Roman" w:cs="Times New Roman"/>
                <w:b/>
                <w:bCs/>
                <w:sz w:val="24"/>
                <w:szCs w:val="24"/>
              </w:rPr>
            </w:pPr>
            <w:r w:rsidRPr="00547D14">
              <w:rPr>
                <w:rFonts w:ascii="Times New Roman" w:eastAsia="Calibri" w:hAnsi="Times New Roman" w:cs="Times New Roman"/>
                <w:b/>
                <w:bCs/>
                <w:sz w:val="24"/>
                <w:szCs w:val="24"/>
              </w:rPr>
              <w:t>Hankelepingu projekt 18.09.2024 (esimene versioon)</w:t>
            </w:r>
          </w:p>
        </w:tc>
        <w:tc>
          <w:tcPr>
            <w:tcW w:w="4531" w:type="dxa"/>
          </w:tcPr>
          <w:p w14:paraId="5063B3B1" w14:textId="77777777" w:rsidR="00547D14" w:rsidRPr="00547D14" w:rsidRDefault="00547D14" w:rsidP="00547D14">
            <w:pPr>
              <w:spacing w:after="160" w:line="259" w:lineRule="auto"/>
              <w:ind w:left="720"/>
              <w:contextualSpacing/>
              <w:jc w:val="both"/>
              <w:rPr>
                <w:rFonts w:ascii="Times New Roman" w:eastAsia="Calibri" w:hAnsi="Times New Roman" w:cs="Times New Roman"/>
                <w:b/>
                <w:bCs/>
                <w:sz w:val="24"/>
                <w:szCs w:val="24"/>
              </w:rPr>
            </w:pPr>
            <w:r w:rsidRPr="00547D14">
              <w:rPr>
                <w:rFonts w:ascii="Times New Roman" w:eastAsia="Calibri" w:hAnsi="Times New Roman" w:cs="Times New Roman"/>
                <w:b/>
                <w:bCs/>
                <w:sz w:val="24"/>
                <w:szCs w:val="24"/>
              </w:rPr>
              <w:t>Hankelepingu projekt 27.09.2024</w:t>
            </w:r>
          </w:p>
        </w:tc>
      </w:tr>
      <w:tr w:rsidR="00547D14" w:rsidRPr="00547D14" w14:paraId="1C7B95A1" w14:textId="77777777" w:rsidTr="00721D5F">
        <w:tc>
          <w:tcPr>
            <w:tcW w:w="4531" w:type="dxa"/>
          </w:tcPr>
          <w:p w14:paraId="192DE94F" w14:textId="77777777" w:rsidR="00547D14" w:rsidRPr="00547D14" w:rsidRDefault="00547D14" w:rsidP="00547D14">
            <w:pPr>
              <w:spacing w:after="160" w:line="259" w:lineRule="auto"/>
              <w:ind w:left="720"/>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1.4. </w:t>
            </w:r>
            <w:r w:rsidRPr="00547D14">
              <w:rPr>
                <w:rFonts w:ascii="Times New Roman" w:eastAsia="Calibri" w:hAnsi="Times New Roman" w:cs="Times New Roman"/>
                <w:sz w:val="24"/>
                <w:szCs w:val="24"/>
              </w:rPr>
              <w:tab/>
              <w:t>Töövõtja teeb Töö hiljemalt .......</w:t>
            </w:r>
          </w:p>
        </w:tc>
        <w:tc>
          <w:tcPr>
            <w:tcW w:w="4531" w:type="dxa"/>
          </w:tcPr>
          <w:p w14:paraId="115C497A" w14:textId="77777777" w:rsidR="00547D14" w:rsidRPr="00547D14" w:rsidRDefault="00547D14" w:rsidP="00547D14">
            <w:pPr>
              <w:spacing w:after="160" w:line="259" w:lineRule="auto"/>
              <w:ind w:left="720"/>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1.4. Töövõtja teeb Töö hiljemalt viie kuu jooksul.</w:t>
            </w:r>
          </w:p>
        </w:tc>
      </w:tr>
      <w:tr w:rsidR="00547D14" w:rsidRPr="00547D14" w14:paraId="2E3937F4" w14:textId="77777777" w:rsidTr="00721D5F">
        <w:tc>
          <w:tcPr>
            <w:tcW w:w="4531" w:type="dxa"/>
          </w:tcPr>
          <w:p w14:paraId="4C27FFD4" w14:textId="77777777" w:rsidR="00547D14" w:rsidRPr="00547D14" w:rsidRDefault="00547D14" w:rsidP="00547D14">
            <w:pPr>
              <w:spacing w:after="160" w:line="259" w:lineRule="auto"/>
              <w:ind w:left="720"/>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3.1.4. kasutada Lepingu täitmisel kolmandaid isikuid, kui Tellija on selleks eelnevalt kirjaliku nõusoleku andnud.</w:t>
            </w:r>
          </w:p>
        </w:tc>
        <w:tc>
          <w:tcPr>
            <w:tcW w:w="4531" w:type="dxa"/>
          </w:tcPr>
          <w:p w14:paraId="358E46A7" w14:textId="77777777" w:rsidR="00547D14" w:rsidRPr="00547D14" w:rsidRDefault="00547D14" w:rsidP="00547D14">
            <w:pPr>
              <w:spacing w:after="160" w:line="259" w:lineRule="auto"/>
              <w:ind w:left="720"/>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Eemaldatud</w:t>
            </w:r>
          </w:p>
        </w:tc>
      </w:tr>
      <w:tr w:rsidR="00547D14" w:rsidRPr="00547D14" w14:paraId="6F0D071B" w14:textId="77777777" w:rsidTr="00721D5F">
        <w:tc>
          <w:tcPr>
            <w:tcW w:w="4531" w:type="dxa"/>
          </w:tcPr>
          <w:p w14:paraId="642469D3" w14:textId="77777777" w:rsidR="00547D14" w:rsidRPr="00547D14" w:rsidRDefault="00547D14" w:rsidP="00547D14">
            <w:pPr>
              <w:spacing w:after="160" w:line="259" w:lineRule="auto"/>
              <w:ind w:left="720"/>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6.3. </w:t>
            </w:r>
            <w:r w:rsidRPr="00547D14">
              <w:rPr>
                <w:rFonts w:ascii="Times New Roman" w:eastAsia="Calibri" w:hAnsi="Times New Roman" w:cs="Times New Roman"/>
                <w:sz w:val="24"/>
                <w:szCs w:val="24"/>
              </w:rPr>
              <w:tab/>
              <w:t>Kui Täitja rikub Lepingut, on ta kohustatud Tellija nõudmisel iga rikkumise eest maksma leppetrahvi 5% lepingu maksumusest.</w:t>
            </w:r>
          </w:p>
        </w:tc>
        <w:tc>
          <w:tcPr>
            <w:tcW w:w="4531" w:type="dxa"/>
          </w:tcPr>
          <w:p w14:paraId="63FCA9DA" w14:textId="77777777" w:rsidR="00547D14" w:rsidRPr="00547D14" w:rsidRDefault="00547D14" w:rsidP="00547D14">
            <w:pPr>
              <w:spacing w:after="160" w:line="259" w:lineRule="auto"/>
              <w:ind w:left="720"/>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6.3. Kui Täitja rikub Lepingut, on ta kohustatud Tellija nõudmisel iga rikkumise eest maksma leppetrahvi 400 eurot.</w:t>
            </w:r>
          </w:p>
        </w:tc>
      </w:tr>
    </w:tbl>
    <w:p w14:paraId="61D67AC3" w14:textId="77777777" w:rsidR="00547D14" w:rsidRPr="00547D14" w:rsidRDefault="00547D14" w:rsidP="00547D14">
      <w:pPr>
        <w:ind w:left="720"/>
        <w:contextualSpacing/>
        <w:jc w:val="both"/>
        <w:rPr>
          <w:rFonts w:ascii="Times New Roman" w:eastAsia="Calibri" w:hAnsi="Times New Roman" w:cs="Times New Roman"/>
          <w:sz w:val="24"/>
          <w:szCs w:val="24"/>
        </w:rPr>
      </w:pPr>
    </w:p>
    <w:p w14:paraId="7C3070AA"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Hankija on 01.10.2024 koostanud uue edukaks tunnistamise otsuse, milles kajastub põhjendus: „</w:t>
      </w:r>
      <w:r w:rsidRPr="00547D14">
        <w:rPr>
          <w:rFonts w:ascii="Times New Roman" w:eastAsia="Calibri" w:hAnsi="Times New Roman" w:cs="Times New Roman"/>
          <w:i/>
          <w:iCs/>
          <w:sz w:val="24"/>
          <w:szCs w:val="24"/>
        </w:rPr>
        <w:t>Hankija saatis edukale pakkujale TO Projekt OÜ-le hankelepingu allkirjastamiseks, millele TO Projekt esitas vastuväiteid. Hankija parandas lepingut ja andis pakkujale tähtaja kuni 30.09.2024 lepingu allkirjastamiseks. TO Projekt OÜ ei allkirjastanud hankelepingut hankija antud tähtaja jooksul. RHS § 119 lg 1 ja lg 2 järgi, kui edukas pakkuja ei allkirjasta hankija antud tähtaja jooksul hankelepingut, võib hankija tunnistada edukaks esialgsel hindamisel leitud järjestuselt teise pakkumuse juhul, kui edukaks tunnistatud pakkumuse äralangemine ei saa mõjutada ülejäänud pakkumuste omavahelist järjestust. Käesoleva hanke hindamiskriteeriumiks oli pakkumuse maksumus, mistõttu võib hankija tunnistada edukaks hindamisele järjestuselt teise pakkumuse kui järjestuselt teise odavaima maksumusega pakkumuse</w:t>
      </w:r>
      <w:r w:rsidRPr="00547D14">
        <w:rPr>
          <w:rFonts w:ascii="Times New Roman" w:eastAsia="Calibri" w:hAnsi="Times New Roman" w:cs="Times New Roman"/>
          <w:sz w:val="24"/>
          <w:szCs w:val="24"/>
        </w:rPr>
        <w:t>.“ Järgmiseks edukaks pakkujaks tunnistati paremusjärjestuse alusel pakkuja INSENERIBÜROO URMAS NUGIN OÜ pakkumus.</w:t>
      </w:r>
    </w:p>
    <w:p w14:paraId="695F2430"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Võrdlus 27.09.2024 esialgsele edukale pakkujale esitatud hankelepingu ja 18.10.2024 sõlmitud hankelepingu vahel on lisatud FKO lisana 2 (Lisa 2 Hankelepingute võrdlus 27.09.2024 vs 18.10.2024).</w:t>
      </w:r>
    </w:p>
    <w:p w14:paraId="01FC3E27" w14:textId="77777777" w:rsidR="00547D14" w:rsidRPr="00547D14" w:rsidRDefault="00547D14" w:rsidP="00547D14">
      <w:pPr>
        <w:numPr>
          <w:ilvl w:val="2"/>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Hankija, pidades läbirääkimisi hankelepingu tingimuste üle, on rikkunud RHS § 52 lõiget 4.</w:t>
      </w:r>
    </w:p>
    <w:p w14:paraId="44E9032F" w14:textId="77777777" w:rsidR="00547D14" w:rsidRPr="00547D14" w:rsidRDefault="00547D14" w:rsidP="00547D14">
      <w:pPr>
        <w:spacing w:before="240" w:after="240" w:line="240" w:lineRule="auto"/>
        <w:jc w:val="both"/>
        <w:rPr>
          <w:rFonts w:ascii="Times New Roman" w:eastAsia="Calibri" w:hAnsi="Times New Roman" w:cs="Times New Roman"/>
          <w:b/>
          <w:bCs/>
          <w:sz w:val="24"/>
          <w:szCs w:val="24"/>
        </w:rPr>
      </w:pPr>
      <w:r w:rsidRPr="00547D14">
        <w:rPr>
          <w:rFonts w:ascii="Times New Roman" w:eastAsia="Calibri" w:hAnsi="Times New Roman" w:cs="Times New Roman"/>
          <w:b/>
          <w:bCs/>
          <w:sz w:val="24"/>
          <w:szCs w:val="24"/>
        </w:rPr>
        <w:t xml:space="preserve">TOETUSE SAAJA SELGITUSED </w:t>
      </w:r>
    </w:p>
    <w:p w14:paraId="3A2BF193"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Hankelepingu projekti puudumist riigihanke alusdokumentide hulgast on toetuse saaja selgitanud järgmiselt: „</w:t>
      </w:r>
      <w:r w:rsidRPr="00547D14">
        <w:rPr>
          <w:rFonts w:ascii="Times New Roman" w:eastAsia="Calibri" w:hAnsi="Times New Roman" w:cs="Times New Roman"/>
          <w:i/>
          <w:iCs/>
          <w:sz w:val="24"/>
          <w:szCs w:val="24"/>
        </w:rPr>
        <w:t>Kogenematusest jäi lisamata. Hiljem oleks lepingu sõlmimine kergem olnud</w:t>
      </w:r>
      <w:r w:rsidRPr="00547D14">
        <w:rPr>
          <w:rFonts w:ascii="Times New Roman" w:eastAsia="Calibri" w:hAnsi="Times New Roman" w:cs="Times New Roman"/>
          <w:sz w:val="24"/>
          <w:szCs w:val="24"/>
        </w:rPr>
        <w:t>.“</w:t>
      </w:r>
    </w:p>
    <w:p w14:paraId="42DF7A88" w14:textId="77777777" w:rsidR="00547D14" w:rsidRPr="00F241A7" w:rsidRDefault="00547D14" w:rsidP="00547D14">
      <w:pPr>
        <w:numPr>
          <w:ilvl w:val="0"/>
          <w:numId w:val="7"/>
        </w:numPr>
        <w:spacing w:before="240" w:after="240" w:line="240" w:lineRule="auto"/>
        <w:contextualSpacing/>
        <w:jc w:val="both"/>
        <w:rPr>
          <w:rFonts w:ascii="Times New Roman" w:eastAsia="Calibri" w:hAnsi="Times New Roman" w:cs="Times New Roman"/>
          <w:i/>
          <w:iCs/>
          <w:sz w:val="24"/>
          <w:szCs w:val="24"/>
        </w:rPr>
      </w:pPr>
      <w:r w:rsidRPr="00547D14">
        <w:rPr>
          <w:rFonts w:ascii="Times New Roman" w:eastAsia="Calibri" w:hAnsi="Times New Roman" w:cs="Times New Roman"/>
          <w:sz w:val="24"/>
          <w:szCs w:val="24"/>
        </w:rPr>
        <w:t>Hankelepingu tingimuste muutmise teemat selgitas hankija järgnevalt: „</w:t>
      </w:r>
      <w:r w:rsidRPr="00547D14">
        <w:rPr>
          <w:rFonts w:ascii="Times New Roman" w:eastAsia="Calibri" w:hAnsi="Times New Roman" w:cs="Times New Roman"/>
          <w:i/>
          <w:iCs/>
          <w:sz w:val="24"/>
          <w:szCs w:val="24"/>
        </w:rPr>
        <w:t>Pakkujaga TO Projekt OÜ ei saanud pärast pakkumuse edukaks tunnistamist kontakti, et leping sõlmida. Lõpuks leppisime kokku Alutagusel 18.09.2024 kohtumise. Enne kohtumist saatsin talle lepingu projekti. Alajõel objektiga tutvumisel oli tal ridamisi ettepanekuid ja märkusi ja oli tunda, et ta nii väga ei soovigi lepingusse minna. Talle saadetud lepingu projektile esitas ta hulgaliselt märkusi ja seisukoha, millest võis välja lugeda soovimatust lepingut sõlmida. Kõigile pakkujatele hankelepingu projekti ei saadetud. Esialgne hankelepingu projekt läks TO Projekt OÜ-le. Seejärel läks parandatud projekt TO Projekt OÜ-le. Sama parandatud projekt läks Inseneribüroo Urmas Nugin OÜ-le. Leping saadeti allkirjastamiseks Inseneribüroo Urmas Nugin OÜ-le riigihangete registri kaudu</w:t>
      </w:r>
      <w:r w:rsidRPr="00547D14">
        <w:rPr>
          <w:rFonts w:ascii="Times New Roman" w:eastAsia="Calibri" w:hAnsi="Times New Roman" w:cs="Times New Roman"/>
          <w:sz w:val="24"/>
          <w:szCs w:val="24"/>
        </w:rPr>
        <w:t>.“</w:t>
      </w:r>
    </w:p>
    <w:p w14:paraId="51DD52B3" w14:textId="77777777" w:rsidR="00F241A7" w:rsidRDefault="00F241A7" w:rsidP="00F241A7">
      <w:pPr>
        <w:spacing w:before="240" w:after="240" w:line="240" w:lineRule="auto"/>
        <w:contextualSpacing/>
        <w:jc w:val="both"/>
        <w:rPr>
          <w:rFonts w:ascii="Times New Roman" w:eastAsia="Calibri" w:hAnsi="Times New Roman" w:cs="Times New Roman"/>
          <w:sz w:val="24"/>
          <w:szCs w:val="24"/>
        </w:rPr>
      </w:pPr>
    </w:p>
    <w:p w14:paraId="35DF3ACA" w14:textId="77777777" w:rsidR="00F241A7" w:rsidRDefault="00F241A7" w:rsidP="00F241A7">
      <w:pPr>
        <w:spacing w:before="240" w:after="240" w:line="240" w:lineRule="auto"/>
        <w:contextualSpacing/>
        <w:jc w:val="both"/>
        <w:rPr>
          <w:rFonts w:ascii="Times New Roman" w:eastAsia="Calibri" w:hAnsi="Times New Roman" w:cs="Times New Roman"/>
          <w:sz w:val="24"/>
          <w:szCs w:val="24"/>
        </w:rPr>
      </w:pPr>
    </w:p>
    <w:p w14:paraId="58DA3F4D" w14:textId="77777777" w:rsidR="00F241A7" w:rsidRPr="00547D14" w:rsidRDefault="00F241A7" w:rsidP="00F241A7">
      <w:pPr>
        <w:spacing w:before="240" w:after="240" w:line="240" w:lineRule="auto"/>
        <w:contextualSpacing/>
        <w:jc w:val="both"/>
        <w:rPr>
          <w:rFonts w:ascii="Times New Roman" w:eastAsia="Calibri" w:hAnsi="Times New Roman" w:cs="Times New Roman"/>
          <w:i/>
          <w:iCs/>
          <w:sz w:val="24"/>
          <w:szCs w:val="24"/>
        </w:rPr>
      </w:pPr>
    </w:p>
    <w:p w14:paraId="126C7CFD" w14:textId="77777777" w:rsidR="00547D14" w:rsidRPr="00547D14" w:rsidRDefault="00547D14" w:rsidP="00547D14">
      <w:pPr>
        <w:spacing w:before="240" w:after="240" w:line="240" w:lineRule="auto"/>
        <w:jc w:val="both"/>
        <w:rPr>
          <w:rFonts w:ascii="Times New Roman" w:eastAsia="ArialMT" w:hAnsi="Times New Roman" w:cs="Times New Roman"/>
          <w:b/>
          <w:bCs/>
          <w:color w:val="000000" w:themeColor="text1"/>
          <w:sz w:val="24"/>
          <w:szCs w:val="24"/>
        </w:rPr>
      </w:pPr>
      <w:bookmarkStart w:id="5" w:name="_Hlk177476761"/>
      <w:bookmarkStart w:id="6" w:name="finantskorrektsiooni_pohjendused"/>
      <w:r w:rsidRPr="00547D14">
        <w:rPr>
          <w:rFonts w:ascii="Times New Roman" w:eastAsia="ArialMT" w:hAnsi="Times New Roman" w:cs="Times New Roman"/>
          <w:b/>
          <w:bCs/>
          <w:color w:val="000000" w:themeColor="text1"/>
          <w:sz w:val="24"/>
          <w:szCs w:val="24"/>
        </w:rPr>
        <w:lastRenderedPageBreak/>
        <w:t>FINANTSKORREKTSIOONI PÕHJENDUSED</w:t>
      </w:r>
    </w:p>
    <w:bookmarkEnd w:id="5"/>
    <w:bookmarkEnd w:id="6"/>
    <w:p w14:paraId="6703B79F"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Meetme määruse § 28 lg 4 punkti 1 kohaselt juhul, kui toetuse saaja on hankija RHS-i tähenduses, tuleb hanke korraldamisel lähtuda RHS-ist. Toetuse saaja on Sihtasutus Alutagusemaa, kes on sihtasutus RHS § 5 lg 2 punkti 4 mõistes ja sellest tulenevalt peab toetuse saaja riigihanke läbiviimisel järgima RHS-is sätestatud korda.</w:t>
      </w:r>
    </w:p>
    <w:p w14:paraId="14A83411"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RHS § 77 lg 4 p 4 kohaselt peavad riigihanke alusdokumentides sisalduma kõik tulevase hankelepingu tingimused.</w:t>
      </w:r>
    </w:p>
    <w:p w14:paraId="13E239D5"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Hankelepingu tingimuste sisustamisel tuleb järgida riigihanke korraldamise üldpõhimõtteid (RHS § 3).</w:t>
      </w:r>
    </w:p>
    <w:p w14:paraId="68D1690F"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Hankeleping sõlmitakse riigihanke alusdokumentides ettenähtud tingimustel ja vastavuses edukaks tunnistatud pakkumusega (RHS § 120 lg 1). Pakkujate võrdse kohtlemise ja riigihanke läbipaistvuse nõuetest tuleneb (RHS § 3), et kõik tingimused, mis olid pakkumuste esitamisel kohustuslikud, saavad hankelepingu tingimusteks sellest sõltumata, kas need on hankelepingus otseselt sätestatud või kas neile on hankelepingus viidatud. Ka vastupidi, hankeleping ei saa üldjuhul sisaldada selliseid kehtivaid tingimusi, mis ei olnud riigihanke alusdokumentides avaldatud. Seega on kõik riigihanke alusdokumentide tingimused ka hankelepingu tingimused. Erandiks on tingimused, mille osas esitati võistlevad pakkumused, nt hind (vt ka RHS § 77 lg 4 p 5), ning läbirääkimistega hankemenetluses läbirääkimiste tulemusel lisandunud tingimused. Antud juhtumis (FKO punkt 3.1) ei ole eeltoodud erandid kohalduvad, kuna tegemist on avatud hankemenetlusega, mille puhul läbirääkimised ei ole lubatud. Muud hankelepingu tingimused, nt võimalikud õiguskaitsevahendid, kõrvalkohustused jm, peavad olema ettevõtjatele riigihanke alusdokumentides avaldatud riigihanke alustamisest alates (RHS § 73 lg 1, § 77 lg 1). Pakkumuse esitamisega kinnitab pakkuja, et nõustub kõikide riigihanke alusdokumentides toodud, sh hankelepingu tingimustega (RHS § 73 lg 2) ehk riigihanke alusdokumentide tingimused on ühtlasi pakkumuse lahutamatuks osaks.</w:t>
      </w:r>
    </w:p>
    <w:p w14:paraId="44B845A2"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FKO punktis 3.1 kajastatud juhtumi puhul puudusid riigihanke alusdokumentide hulgast hankelepingu olulised tingimused, nt õiguskaitsevahendid, kõrvalkohustused, tasumise viis, lähteülesande muutmine, lisatöö arvestus jne. </w:t>
      </w:r>
    </w:p>
    <w:p w14:paraId="6C5421E1"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VAKO (Vaidlustuskomisjon) on korduvalt rõhutanud, et pakkujad peavad pakkumuse esitamise hetkel teadma kõiki olulisi hankelepingu tingimusi, sh lepingu täitmise, vastutuse, sanktsioonide ja muutmise reegleid. Kui hankija jätab osa tingimusi riigihanke alusdokumentidest välja ja avaldab need alles pärast edukaks tunnistamist või lepingu sõlmimise faasis, on rikutud RHS § 3 läbipaistvuse ja võrdse kohtlemise põhimõtteid.</w:t>
      </w:r>
    </w:p>
    <w:p w14:paraId="72A4A042"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Läbipaistvuse põhimõte (RHS § 3) hõlmab kohustust fikseerida kõik hankija poolt hiljem kohaldatavad lepingu- ja menetlustingimused juba riigihanke alusdokumentides.</w:t>
      </w:r>
    </w:p>
    <w:p w14:paraId="30A4F6FE"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Kohtupraktika kohaselt, kui lepingutingimus mõjutab hinda, riske või täitmise mahtu, peab see olema riigihanke alusdokumentides kirjas. Vastasel korral on rikutud võrdsust ja konkurentsi efektiivset ärakasutamist (RHS § 3).</w:t>
      </w:r>
    </w:p>
    <w:p w14:paraId="43A44138"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Hankija vastutab selle eest, et pakkujad saaks hinnata kõiki lepinguriske juba pakkumuste esitamisel. FKO punktis 3.1 kajastatud juhtumis pakkuja majanduslik risk ei olnud ette teada, mistõttu ei olnud võimalik ka võrreldavat ja teadlikku pakkumust esitada.</w:t>
      </w:r>
    </w:p>
    <w:p w14:paraId="0F66DE1C" w14:textId="77777777" w:rsidR="00547D14" w:rsidRPr="00547D14" w:rsidRDefault="00547D14" w:rsidP="00547D14">
      <w:pPr>
        <w:numPr>
          <w:ilvl w:val="0"/>
          <w:numId w:val="7"/>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Puuduv tingimus on oluline:</w:t>
      </w:r>
    </w:p>
    <w:p w14:paraId="786386B3" w14:textId="77777777" w:rsidR="00547D14" w:rsidRPr="00547D14" w:rsidRDefault="00547D14" w:rsidP="00547D14">
      <w:pPr>
        <w:numPr>
          <w:ilvl w:val="1"/>
          <w:numId w:val="2"/>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Kui see mõjutab pakkumuse hinda (leppetrahvid, viivised, riskide jaotuse muutus, ulatuslikud lisatööde kohustused). FKO punktis 3.1 toodust nähtub, et kõik eeltoodud info puudus riigihanke alusdokumentidest, mis suure tõenäosusega, kui oleks sisaldunud riigihanke alusdokumentides, oleks mõjutanud ka pakkumuste hinda. </w:t>
      </w:r>
    </w:p>
    <w:p w14:paraId="1D337984" w14:textId="77777777" w:rsidR="00547D14" w:rsidRPr="00547D14" w:rsidRDefault="00547D14" w:rsidP="00547D14">
      <w:pPr>
        <w:numPr>
          <w:ilvl w:val="1"/>
          <w:numId w:val="2"/>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lastRenderedPageBreak/>
        <w:t>Kui see võib mõjutada otsust hankes üldse osaleda – ühepoolsed lepingu muutmise või lõpetamise õigused, ebamäärane vastutus kolmandate isikute eest. Kui mõistlik ettevõtja jätaks sellise tingimuse korral pakkumuse esitamata, on tegu olulise tingimusega. Kirjeldatud juhtumis (FKO punkt 3.1) jättis esimene edukas pakkuja hankelepingu sõlmimata, kui sai teadlikuks tulevase hankelepingu tingimustest. Avaldamata tingimused (ühepoolsed lepingu muutmise või lõpetamise õigused, ebamäärane vastutus kolmandate isikute eest) mõjutasid esialgset edukat pakkujat sedavõrd, et keelduti lepingu esimese versiooni allkirjastamisest. Seega ei saa välistada olukorda, kus eelnimetatud puuduvad tingimused oleksid nende avaldamisel mõjutanud hankes osalemise otsust.</w:t>
      </w:r>
    </w:p>
    <w:p w14:paraId="5AC9736D" w14:textId="77777777" w:rsidR="00547D14" w:rsidRPr="00547D14" w:rsidRDefault="00547D14" w:rsidP="00547D14">
      <w:pPr>
        <w:numPr>
          <w:ilvl w:val="1"/>
          <w:numId w:val="2"/>
        </w:numPr>
        <w:spacing w:before="240" w:after="240" w:line="240" w:lineRule="auto"/>
        <w:ind w:left="714" w:hanging="357"/>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Kui see on seotud lepingu täitmise ulatuse või sisuga - töömahu täpne kirjeldus, tähtaegade paindlikkus või puudumine. FKO punktis 3.1 kirjeldatud juhtumi puhul selgus peale edukaks tunnistamist ja enne hankelepingu sõlmimist, et hankija soovitud töömaht erineb riigihanke alusdokumentides toodust ning samuti ei olnud pakkujatele teada, kas tasu tehtud töö eest makstakse ühekordse maksena või etapiliselt.</w:t>
      </w:r>
    </w:p>
    <w:p w14:paraId="7D5DF875"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Tulenevalt eeltoodust, jättes avaldamata hankelepingu olulised tingimused, eirates sellega RHS § 77 lg 4 punkti 4, on hankija rikkunud RHS § 3 punkte 1-3. </w:t>
      </w:r>
    </w:p>
    <w:p w14:paraId="191194DF"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Lisaks sellele, et hankija jättis avaldamata tulevase hankelepingu olulised tingimused, asus hankija ka läbi rääkima tulevaste hankelepingute tingimuste üle, kui oli need peale edukaks tunnistamist edukatele pakkujatele avalikustanud (FKO punkt 3.2).</w:t>
      </w:r>
    </w:p>
    <w:p w14:paraId="5288E5EF"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RHS § 52 lg 4 sätestab üldise läbirääkimiste keelu avatud hankemenetluses. Kõnealune riigihange on korraldatud avatud hankemenetlusena ja seega, läbirääkimised ei ole riigihankes lubatud. Sätte eesmärk on tagada, et kõik pakkumused on lõplikud ja võrreldavad ja pärast pakkumuste esitamise tähtaega ei toimuks tegelikke ega varjatud läbirääkimisi.</w:t>
      </w:r>
    </w:p>
    <w:p w14:paraId="68E9E121"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Avatud hankemenetluses peab hankija ja ettevõtja vaheline suhtlus piirduma vaid otseselt RHS-s 2. ptk-s avatud hankemenetlusele ettenähtud ja lubatud teabe vahetamisega, st eelkõige hankija poolt riigihanke alusdokumentides lubatud selgitamise ning pakkuja poolt pakkumust ja kvalitatiivset valikut puudutavate dokumentide esitamise ning nende lubatud selgitamisega. Igasugune täiendav suhtlus hankija ja ettevõtja vahel on RHS § 52 lg-st 4 tulenevalt keelatud. Samuti on kohtupraktikas peetud keelatud läbirääkimisteks seda, kui hankija muudab enne hankelepingu sõlmimist kokkuleppel eduka pakkujaga riigihanke alusdokumentides osaks olnud hankelepingu tingimusi. Kuna läbirääkimisi peetakse riigihankeõiguses üldiseks ohuks riigihanke korraldamise üldpõhimõteteks oleva võrdse kohtlemise ja sellest tuleneva läbipaistvuse eesmärkide saavutamisele, käsitatakse avatud hankemenetlust seepärast ka kõige läbipaistvama ja konkurentsi tagava hankemenetluse liigina. FKO punktis 3.2 juhtumi puhul avalikustas hankija hankelepingu tingimused alles peale edukaks tunnistamist ning seejärel asus hankelepingu tingimuste üle läbirääkimisi pidama.</w:t>
      </w:r>
    </w:p>
    <w:p w14:paraId="6F6EB0FC"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RHR-i teabevahetuse kaudu esitas hankija 27.09.2024 esialgsele edukale pakkujale hankelepingu projekti, mille allkirjastamiseks andis hankija tähtajaks 30.09.2024. Kui võrrelda hankelepingu projekti versiooni 18.09.2024 hankelepingu projekti versiooniga 27.09.2024, siis nähtub, et muudatused on toimunud punktides 1.4, 3.1.4 ja 6.3, millest viimast saab lugeda kõige olulisemaks (leppetrahv). Ühtlasi saab tõdeda, et hankija jättis esialgse eduka pakkuja ettepanekud arvestamata. Esialgne edukas pakkuja ei allkirjastanud hankelepingut ja hankija tunnistas 01.10.2024 edukaks paremusjärjestuse alusel järgmise pakkuja.</w:t>
      </w:r>
    </w:p>
    <w:p w14:paraId="0488B95F"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Hankija saatis 14.10.2024 edukale pakkujale hankelepingu, millele edukas pakkuja tegi 16.10.2024 muudatusettepanekud. Toetuse saaja esitatud kirjavahetusest nähtub, et 17.10.2024 on hankija veel teinud hankelepingus muudatusi ning saatnud hankelepingu uuesti edukale pakkujale. 18.10.2024 on edukas pakkuja nõustunud hankija täiendustega ning lisanud omakorda omapoolsed täiendused.</w:t>
      </w:r>
    </w:p>
    <w:p w14:paraId="0C3C34E0"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lastRenderedPageBreak/>
        <w:t xml:space="preserve">18.10.2024 sõlmiti uue eduka pakkujaga hankeleping, milles toodud tingimused erinevad mitmes punktis võrreldes hankelepingu versiooniga 27.09.2024 (FKO lisa 2). Seega, hankija on peale edukaks tunnistamist ja enne hankelepingu sõlmimist pidanud eduka pakkujaga läbirääkimisi hankelepingu oluliste tingimuste üle nagu näiteks täiendava tähtaja määramine, kohustus kaasata vajalikke osapooli, tööde eest tasumise kord, lepingu lõpetamine, ülesütlemine, lepingust taganemine, vääramatu jõud, lähteülesande muutmine ja lisatöö. </w:t>
      </w:r>
    </w:p>
    <w:p w14:paraId="7CC53429" w14:textId="77777777" w:rsidR="00547D14" w:rsidRPr="00547D14" w:rsidRDefault="00547D14" w:rsidP="00547D14">
      <w:pPr>
        <w:numPr>
          <w:ilvl w:val="0"/>
          <w:numId w:val="7"/>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Hankelepingu maksetingimused ja hinnastruktuur on hankelepingu olulised tingimused ja nende muutmine või „läbi rääkimine“ pärast pakkumuste esitamist ei ole enam lubatud, tegemist on sisulise kokkuleppe muutmisega. VAKO on rõhutanud, et kui hankija soovib maksetingimuste üle läbi rääkida, tuleb valida läbirääkimistega menetlus, mitte kasutada avatud menetlust ja „pehmet suhtlust“ ühe pakkujaga.</w:t>
      </w:r>
    </w:p>
    <w:p w14:paraId="346F1157" w14:textId="77777777" w:rsidR="00547D14" w:rsidRPr="00547D14" w:rsidRDefault="00547D14" w:rsidP="00547D14">
      <w:pPr>
        <w:spacing w:before="240" w:after="240" w:line="240" w:lineRule="auto"/>
        <w:contextualSpacing/>
        <w:jc w:val="both"/>
        <w:rPr>
          <w:rFonts w:ascii="Times New Roman" w:eastAsia="Calibri" w:hAnsi="Times New Roman" w:cs="Times New Roman"/>
          <w:sz w:val="24"/>
          <w:szCs w:val="24"/>
        </w:rPr>
      </w:pPr>
    </w:p>
    <w:p w14:paraId="23F9079B"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Vastutus- ja trahvitingimused kuuluvad lepingu riskijaotuse tuuma ja nende muutmine pärast pakkumuste esitamist tähendab lepingu sisu ümberläbirääkimist ja see rikub võrdsuse ja läbipaistvuse põhimõtteid (RHS § 3).</w:t>
      </w:r>
    </w:p>
    <w:p w14:paraId="23A58659"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Hankija on hankelepingu tingimuste üle peetud läbirääkimistega andnud ühele pakkujale eelise (§ 3 punkt 2 – võrdne kohtlemine), muutnud menetluse mittejälgitavaks (§ 3 punkt 1 – läbipaistvus ja kontrollitavus) ning moonutavad konkurentsi (§ 3 punkt 3 – konkurentsi efektiivne ärakasutamine).</w:t>
      </w:r>
    </w:p>
    <w:p w14:paraId="201FD149"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Võrdse kohtlemise põhimõte eeldab, et kõik pakkujad konkureerivad identsetel tingimustel. Käesoleval juhul loodi erandlik olukord, kus üks pakkuja sai osaleda sisulistes läbirääkimistes, samas kui teised pakkujad sellist võimalust ei omanud. </w:t>
      </w:r>
    </w:p>
    <w:p w14:paraId="7FACA5E6"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Hankemenetlus ei ole läbipaistev ega kontrollitav, kuna hankelepingu lõplikud tingimused kujunesid menetluse käigus üksikläbirääkimiste tulemusena.</w:t>
      </w:r>
      <w:r w:rsidRPr="00547D14">
        <w:t xml:space="preserve"> </w:t>
      </w:r>
      <w:r w:rsidRPr="00547D14">
        <w:rPr>
          <w:rFonts w:ascii="Times New Roman" w:eastAsia="Calibri" w:hAnsi="Times New Roman" w:cs="Times New Roman"/>
          <w:sz w:val="24"/>
          <w:szCs w:val="24"/>
        </w:rPr>
        <w:t>Kui hankelepingu tegelik sisu kujuneb mitteametlike või selektiivsete läbirääkimiste tulemusena, ei ole menetlus enam läbipaistev ega kontrollitav RHS § 3 punkti 1 tähenduses.</w:t>
      </w:r>
    </w:p>
    <w:p w14:paraId="1D65543B"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Konkurents on efektiivne üksnes siis, kui kõik pakkujad konkureerivad samal riskitasemel ja samade lepingutingimustega ja ei toimu järelkorrektsioone ühe pakkuja kasuks. Konkurentsi efektiivset ärakasutamist ei saa eeldada juhul, kui üks pakkuja saab pärast pakkumuste esitamist oma lepinguriske või majanduslikku positsiooni muuta.</w:t>
      </w:r>
    </w:p>
    <w:p w14:paraId="535D0FA8"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Lubamatud läbirääkimised seavad kahtluse alla, kas avalikke vahendeid kasutati säästlikult ja otstarbekalt. Kui konkurents on moonutatud, ei saa kindlalt väita, et valiti tegelikult majanduslikult soodsaim pakkumus ja hinna‑kvaliteedi suhe tekkis ausas konkurentsis (RHS § 3 punkt 5). </w:t>
      </w:r>
    </w:p>
    <w:p w14:paraId="342E9106"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Käesolevas asjas on hankija rikkunud RHS § 52 lõiget 4, pidades avatud hankemenetluses lubamatuid läbirääkimisi hankelepingu oluliste tingimuste üle. See rikkumine ei ole üksnes formaalne, vaid avaldub sisuliselt RHS § 3 lõikes sätestatud riigihangete üldpõhimõtete – eeskätt võrdse kohtlemise, läbipaistvuse ja konkurentsi efektiivse ärakasutamise – rikkumisena. Sellisel viisil läbiviidud menetlust ei saa lugeda õiguspäraseks.</w:t>
      </w:r>
    </w:p>
    <w:p w14:paraId="797E69B8" w14:textId="77777777" w:rsidR="00547D14" w:rsidRPr="00547D14" w:rsidRDefault="00547D14" w:rsidP="00547D14">
      <w:pPr>
        <w:spacing w:before="240" w:after="240" w:line="240" w:lineRule="auto"/>
        <w:jc w:val="both"/>
        <w:rPr>
          <w:rFonts w:ascii="Times New Roman" w:eastAsia="Calibri" w:hAnsi="Times New Roman" w:cs="Times New Roman"/>
          <w:b/>
          <w:bCs/>
          <w:color w:val="000000" w:themeColor="text1"/>
          <w:sz w:val="24"/>
          <w:szCs w:val="24"/>
        </w:rPr>
      </w:pPr>
      <w:bookmarkStart w:id="7" w:name="korrektsioonimaar"/>
      <w:r w:rsidRPr="00547D14">
        <w:rPr>
          <w:rFonts w:ascii="Times New Roman" w:eastAsia="Calibri" w:hAnsi="Times New Roman" w:cs="Times New Roman"/>
          <w:b/>
          <w:bCs/>
          <w:color w:val="000000" w:themeColor="text1"/>
          <w:sz w:val="24"/>
          <w:szCs w:val="24"/>
        </w:rPr>
        <w:t>KORREKTSIOONIMÄÄR</w:t>
      </w:r>
      <w:bookmarkEnd w:id="7"/>
      <w:r w:rsidRPr="00547D14">
        <w:rPr>
          <w:rFonts w:ascii="Times New Roman" w:eastAsia="Calibri" w:hAnsi="Times New Roman" w:cs="Times New Roman"/>
          <w:b/>
          <w:bCs/>
          <w:color w:val="000000" w:themeColor="text1"/>
          <w:sz w:val="24"/>
          <w:szCs w:val="24"/>
        </w:rPr>
        <w:t>AD</w:t>
      </w:r>
    </w:p>
    <w:p w14:paraId="01AAB02F"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ÜM2022 § 34 lg 1 punkti 2 kohaselt teeb rakendusüksus finantskorrektsiooni otsuse, kui toetuse saaja on jätnud osaliselt või täielikult täitmata kohustuse või nõude ja see on mõjutanud kulu abikõlblikkust.</w:t>
      </w:r>
    </w:p>
    <w:p w14:paraId="0C35A3C4"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ÜM2022 § 35 lõige 1 sätestab, kui finantskorrektsiooni otsuse tegemisel ei ole võimalik kohustuse või nõude täitmata jätmise laadist tulenevalt selle rahalise mõju suurust hinnata, kuid esineb põhjendatud oht, et täitmata jätmine on toonud kaasa rahalise mõju, vähendatakse toetust </w:t>
      </w:r>
      <w:r w:rsidRPr="00547D14">
        <w:rPr>
          <w:rFonts w:ascii="Times New Roman" w:eastAsia="Calibri" w:hAnsi="Times New Roman" w:cs="Times New Roman"/>
          <w:sz w:val="24"/>
          <w:szCs w:val="24"/>
        </w:rPr>
        <w:lastRenderedPageBreak/>
        <w:t>sõltuvalt rikkumise raskusest 2, 5, 10, 25, 50, 75 või 100 protsenti tegevusele eraldatud toetusest sõltuvalt asjaolude mõjust kulu abikõlblikkusele, välja arvatud juhul, kui ÜM2022 on sätestatud teisiti.</w:t>
      </w:r>
    </w:p>
    <w:p w14:paraId="00D83B86"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ÜM2022 § 36 alusel kohaldatakse riigihankega seotud rikkumise korral ÜM2014 § 21 lõiget 1</w:t>
      </w:r>
      <w:r w:rsidRPr="00547D14">
        <w:rPr>
          <w:rFonts w:ascii="Times New Roman" w:eastAsia="Calibri" w:hAnsi="Times New Roman" w:cs="Times New Roman"/>
          <w:sz w:val="24"/>
          <w:szCs w:val="24"/>
          <w:vertAlign w:val="superscript"/>
        </w:rPr>
        <w:t>1</w:t>
      </w:r>
      <w:r w:rsidRPr="00547D14">
        <w:rPr>
          <w:rFonts w:ascii="Times New Roman" w:eastAsia="Calibri" w:hAnsi="Times New Roman" w:cs="Times New Roman"/>
          <w:sz w:val="24"/>
          <w:szCs w:val="24"/>
        </w:rPr>
        <w:t xml:space="preserve"> ja §-e 22–22</w:t>
      </w:r>
      <w:r w:rsidRPr="00547D14">
        <w:rPr>
          <w:rFonts w:ascii="Times New Roman" w:eastAsia="Calibri" w:hAnsi="Times New Roman" w:cs="Times New Roman"/>
          <w:sz w:val="24"/>
          <w:szCs w:val="24"/>
          <w:vertAlign w:val="superscript"/>
        </w:rPr>
        <w:t>9</w:t>
      </w:r>
      <w:r w:rsidRPr="00547D14">
        <w:rPr>
          <w:rFonts w:ascii="Times New Roman" w:eastAsia="Calibri" w:hAnsi="Times New Roman" w:cs="Times New Roman"/>
          <w:sz w:val="24"/>
          <w:szCs w:val="24"/>
        </w:rPr>
        <w:t>.</w:t>
      </w:r>
    </w:p>
    <w:p w14:paraId="02703953"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FKO punktis 3.1 toodud rikkumise puhul esinevad ÜM2014 §-is 22</w:t>
      </w:r>
      <w:r w:rsidRPr="00547D14">
        <w:rPr>
          <w:rFonts w:ascii="Times New Roman" w:eastAsia="Calibri" w:hAnsi="Times New Roman" w:cs="Times New Roman"/>
          <w:sz w:val="24"/>
          <w:szCs w:val="24"/>
          <w:vertAlign w:val="superscript"/>
        </w:rPr>
        <w:t>3</w:t>
      </w:r>
      <w:r w:rsidRPr="00547D14">
        <w:rPr>
          <w:rFonts w:ascii="Times New Roman" w:eastAsia="Calibri" w:hAnsi="Times New Roman" w:cs="Times New Roman"/>
          <w:sz w:val="24"/>
          <w:szCs w:val="24"/>
        </w:rPr>
        <w:t xml:space="preserve"> lg 7 punktis 2 toodud asjaolud, mille kohaselt, kui riigihanke alusdokumentides ei ole avaldatud hankelepingu tingimusi, siis kohaldatakse hankelepingule </w:t>
      </w:r>
      <w:r w:rsidRPr="00547D14">
        <w:rPr>
          <w:rFonts w:ascii="Times New Roman" w:eastAsia="Calibri" w:hAnsi="Times New Roman" w:cs="Times New Roman"/>
          <w:b/>
          <w:bCs/>
          <w:sz w:val="24"/>
          <w:szCs w:val="24"/>
        </w:rPr>
        <w:t>10-protsendilist finantskorrektsiooni määra.</w:t>
      </w:r>
    </w:p>
    <w:p w14:paraId="2653CB79" w14:textId="77777777" w:rsidR="00547D14" w:rsidRPr="00547D14" w:rsidRDefault="00547D14" w:rsidP="00547D14">
      <w:pPr>
        <w:numPr>
          <w:ilvl w:val="0"/>
          <w:numId w:val="7"/>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FKO punktis 3.2 kajastatud rikkumise puhul esinevad ÜM2014 § 22</w:t>
      </w:r>
      <w:r w:rsidRPr="00547D14">
        <w:rPr>
          <w:rFonts w:ascii="Times New Roman" w:eastAsia="Calibri" w:hAnsi="Times New Roman" w:cs="Times New Roman"/>
          <w:sz w:val="24"/>
          <w:szCs w:val="24"/>
          <w:vertAlign w:val="superscript"/>
        </w:rPr>
        <w:t>4</w:t>
      </w:r>
      <w:r w:rsidRPr="00547D14">
        <w:rPr>
          <w:rFonts w:ascii="Times New Roman" w:eastAsia="Calibri" w:hAnsi="Times New Roman" w:cs="Times New Roman"/>
          <w:sz w:val="24"/>
          <w:szCs w:val="24"/>
        </w:rPr>
        <w:t xml:space="preserve"> lõikes 2 toodud asjaolud, mille kohaselt, kui avatud hankemenetluses on peetud läbirääkimisi ja selle tulemusel on leping sõlmitud riigihanke alusdokumentides avaldatud tingimustega võrreldes oluliselt muudetud tingimustel, kohaldatakse hankelepingule </w:t>
      </w:r>
      <w:r w:rsidRPr="00547D14">
        <w:rPr>
          <w:rFonts w:ascii="Times New Roman" w:eastAsia="Calibri" w:hAnsi="Times New Roman" w:cs="Times New Roman"/>
          <w:b/>
          <w:bCs/>
          <w:sz w:val="24"/>
          <w:szCs w:val="24"/>
        </w:rPr>
        <w:t>25-protsendilist finantskorrektsiooni määra.</w:t>
      </w:r>
    </w:p>
    <w:p w14:paraId="77B1A05E" w14:textId="77777777" w:rsidR="00547D14" w:rsidRPr="00547D14" w:rsidRDefault="00547D14" w:rsidP="00547D14">
      <w:pPr>
        <w:spacing w:before="240" w:after="240" w:line="240" w:lineRule="auto"/>
        <w:contextualSpacing/>
        <w:jc w:val="both"/>
        <w:rPr>
          <w:rFonts w:ascii="Times New Roman" w:eastAsia="Calibri" w:hAnsi="Times New Roman" w:cs="Times New Roman"/>
          <w:sz w:val="24"/>
          <w:szCs w:val="24"/>
        </w:rPr>
      </w:pPr>
    </w:p>
    <w:p w14:paraId="784D1B1C" w14:textId="23D1F9A4"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Euroopa Parlamendi ja nõukogu määruse (EL) 2021/10605 (edaspidi </w:t>
      </w:r>
      <w:r w:rsidRPr="00547D14">
        <w:rPr>
          <w:rFonts w:ascii="Times New Roman" w:eastAsia="Calibri" w:hAnsi="Times New Roman" w:cs="Times New Roman"/>
          <w:i/>
          <w:iCs/>
          <w:sz w:val="24"/>
          <w:szCs w:val="24"/>
        </w:rPr>
        <w:t>ühissätete määrus</w:t>
      </w:r>
      <w:r w:rsidRPr="00547D14">
        <w:rPr>
          <w:rFonts w:ascii="Times New Roman" w:eastAsia="Calibri" w:hAnsi="Times New Roman" w:cs="Times New Roman"/>
          <w:sz w:val="24"/>
          <w:szCs w:val="24"/>
        </w:rPr>
        <w:t>) artikli 103 lõike 1 koosmõjus ühissätete määruse selgituste punktiga 70 tuleb rakendusüksusel finantskorrektsiooni määra üle otsustamisel muu hulgas arvestada proportsionaalsuse põhimõttega, mistõttu ei saa rakendusüksus rikkumisele kohaldada automaatselt ÜM2014-s vastavale rikkumise koosseisule ettenähtud konkreetset finantskorrektsiooni määra ilma, et oleks eelnevalt analüüsinud, kas antud rikkumisel esineb võrreldes ÜM2014s kirjeldatud rikkumise koosseisuga selliseid erisusi, mille puhul oleks põhjendatud üldisest ettenähtud finantskorrektsiooni määrast väiksema finantskorrektsiooni kohaldamine.</w:t>
      </w:r>
    </w:p>
    <w:p w14:paraId="4115F8D5"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Alates 12.08.2024 kehtiva ÜM2014 redaktsiooni § 21 lg 1</w:t>
      </w:r>
      <w:r w:rsidRPr="00547D14">
        <w:rPr>
          <w:rFonts w:ascii="Times New Roman" w:eastAsia="Calibri" w:hAnsi="Times New Roman" w:cs="Times New Roman"/>
          <w:sz w:val="24"/>
          <w:szCs w:val="24"/>
          <w:vertAlign w:val="superscript"/>
        </w:rPr>
        <w:t>1</w:t>
      </w:r>
      <w:r w:rsidRPr="00547D14">
        <w:rPr>
          <w:rFonts w:ascii="Times New Roman" w:eastAsia="Calibri" w:hAnsi="Times New Roman" w:cs="Times New Roman"/>
          <w:sz w:val="24"/>
          <w:szCs w:val="24"/>
        </w:rPr>
        <w:t xml:space="preserve"> sätestab, kui §-des 22–22⁷ nimetatud rikkumise puhul esineb rikkumist kergendav asjaolu ning rikkumise finantsmõju Euroopa Liidu eelarvele saab pidada vähetõenäoliseks, kuid see ei ole välistatud, võib punkti 3 alusel ettenähtud 10-protsendilisele finantskorrektsiooni määrale erandina kohaldada viie- või kaheprotsendilist määra ja punkti 4 alusel ettenähtud 25-protsendilisele finantskorrektsiooni määrale erandina kohaldada 10- või 5-protsendilist määra. Seega peab rakendusüksus eelkõige hindama, kas antud juhtudel esinevad sellised rikkumisi kergendavad ja finantsmõju vähendavad asjaolud, mille puhul oleks 10- ja 25%-line finantskorrektsiooni määr selgelt ebaproportsionaalne ning võimalik oleks kohaldada 10%, 5% või 2%.</w:t>
      </w:r>
    </w:p>
    <w:p w14:paraId="02F7E05E"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Olukorras, kus ÜM2014 § 21 lg 1</w:t>
      </w:r>
      <w:r w:rsidRPr="00547D14">
        <w:rPr>
          <w:rFonts w:ascii="Times New Roman" w:eastAsia="Calibri" w:hAnsi="Times New Roman" w:cs="Times New Roman"/>
          <w:sz w:val="24"/>
          <w:szCs w:val="24"/>
          <w:vertAlign w:val="superscript"/>
        </w:rPr>
        <w:t>1</w:t>
      </w:r>
      <w:r w:rsidRPr="00547D14">
        <w:rPr>
          <w:rFonts w:ascii="Times New Roman" w:eastAsia="Calibri" w:hAnsi="Times New Roman" w:cs="Times New Roman"/>
          <w:sz w:val="24"/>
          <w:szCs w:val="24"/>
        </w:rPr>
        <w:t xml:space="preserve"> punktides 3 ja 4 toodud finantskorrektsiooni määrad ei ole proportsionaalsed, peab rakendusüksus tulenevalt proportsionaalsuse põhimõttest täiendavalt hindama ka seda, kas esinevad sellised erandlikud asjaolud, mille tõttu võiks lugeda proportsionaalseks ka mõnda muud 10%-st ja 25%-st madalamat finantskorrektsiooni määra. Rakendusüksus on hinnanud käesoleva rikkumiste asjaolusid üksikasjalikult ning on seisukohal, et ei esine selliseid asjaolusid, mis eristaksid käesolevat rikkumist ÜM2014 § 22</w:t>
      </w:r>
      <w:r w:rsidRPr="00547D14">
        <w:rPr>
          <w:rFonts w:ascii="Times New Roman" w:eastAsia="Calibri" w:hAnsi="Times New Roman" w:cs="Times New Roman"/>
          <w:sz w:val="24"/>
          <w:szCs w:val="24"/>
          <w:vertAlign w:val="superscript"/>
        </w:rPr>
        <w:t xml:space="preserve">3 </w:t>
      </w:r>
      <w:r w:rsidRPr="00547D14">
        <w:rPr>
          <w:rFonts w:ascii="Times New Roman" w:eastAsia="Calibri" w:hAnsi="Times New Roman" w:cs="Times New Roman"/>
          <w:sz w:val="24"/>
          <w:szCs w:val="24"/>
        </w:rPr>
        <w:t>lg 7 punktis 2 ja § 22</w:t>
      </w:r>
      <w:r w:rsidRPr="00547D14">
        <w:rPr>
          <w:rFonts w:ascii="Times New Roman" w:eastAsia="Calibri" w:hAnsi="Times New Roman" w:cs="Times New Roman"/>
          <w:sz w:val="24"/>
          <w:szCs w:val="24"/>
          <w:vertAlign w:val="superscript"/>
        </w:rPr>
        <w:t>4</w:t>
      </w:r>
      <w:r w:rsidRPr="00547D14">
        <w:rPr>
          <w:rFonts w:ascii="Times New Roman" w:eastAsia="Calibri" w:hAnsi="Times New Roman" w:cs="Times New Roman"/>
          <w:sz w:val="24"/>
          <w:szCs w:val="24"/>
        </w:rPr>
        <w:t xml:space="preserve"> lõikes 2 kirjeldatud samalaadsest rikkumisest, mistõttu ei kohaldu ÜM2014 § 21 lg 1</w:t>
      </w:r>
      <w:r w:rsidRPr="00547D14">
        <w:rPr>
          <w:rFonts w:ascii="Times New Roman" w:eastAsia="Calibri" w:hAnsi="Times New Roman" w:cs="Times New Roman"/>
          <w:sz w:val="24"/>
          <w:szCs w:val="24"/>
          <w:vertAlign w:val="superscript"/>
        </w:rPr>
        <w:t>1</w:t>
      </w:r>
      <w:r w:rsidRPr="00547D14">
        <w:rPr>
          <w:rFonts w:ascii="Times New Roman" w:eastAsia="Calibri" w:hAnsi="Times New Roman" w:cs="Times New Roman"/>
          <w:sz w:val="24"/>
          <w:szCs w:val="24"/>
        </w:rPr>
        <w:t xml:space="preserve"> punktis 3 ja 4 toodud määrad ega muud 10%-st ja 25%-st madalamad finantskorrektsiooni määrad.</w:t>
      </w:r>
    </w:p>
    <w:p w14:paraId="7A673995"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Hankija on jätnud avatud hankemenetluses avaldamata hankelepingu olulised tingimused (FKO punkt 3.1), avaldanud hankelepingu tingimused edukale pakkujale peale pakkuja edukaks tunnistamist ning seejärel asunud eduka pakkujaga läbi rääkima hankelepingu oluliste tingimuste üle (FKO punkt 3.2).</w:t>
      </w:r>
    </w:p>
    <w:p w14:paraId="6518F540"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Hankelepingu oluliste tingimuste mitteavaldamine mõjutas esialgselt edukat pakkujat sedavõrd, et viimane jättis hankelepingu sootuks sõlmimata. Ei ole välistatud, et kui potentsiaalsed hankest huvitunud isikud oleksid teadnud sõlmitava hankelepingu kõiki tingimusi, siis pakkujate ring oleks võinud olla teistsugune, samuti mõjutanuks see pakkumuste maksumust ja ka hanke lõpptulemust.</w:t>
      </w:r>
    </w:p>
    <w:p w14:paraId="09858D37"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lastRenderedPageBreak/>
        <w:t>Peale pakkumuse edukaks tunnistamist pidades läbirääkimisi hankelepingu oluliste tingimuste üle, on hankija seadnud pakkujad ebavõrdsesse olukorda. Samuti ei ole hankemenetlus olnud läbipaistev ja konkurentsi ei ole efektiivselt ära kasutatud.</w:t>
      </w:r>
    </w:p>
    <w:p w14:paraId="63873F36"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Rakendusüksus on seisukohal, et toetuse saaja kohustuste eiramise tagajärjel on tekkinud kahju, mille suurust ei ole võimalik hinnata, sest ei ole teada, milliseks oleks kujunenud hanketulemus siis, kui toetuse saaja oleks avalikustanud kõik hankelepingu tingimused ja kõik pakkujad oleksid enne pakkumuste tegemist teadnud, mis alustel toimub hankelepingu täitmine. Eeltoodud põhjustel ei ole tegemist üksnes formaalse rikkumisega, vaid esineb põhjendatud oht, et rikkumine tõi kaasa rahalise kahju.</w:t>
      </w:r>
    </w:p>
    <w:p w14:paraId="5690D85A"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Kaaludes riigihankes esinenud rikkumise raskust, asus rakendusüksus seisukohale, et toetuse saaja ei ole järginud avatud hankemenetluse läbiviimisel riigihangete seadust, rikkudes sellega sealhulgas riigihanke korraldamise üldpõhimõtteid, eeskätt riigihanke läbipaistvuse ja kontrollitavuse ning isikute võrdse kohtlemise põhimõtet. Pakkujad peavad oma pakkumuse koostama lähtuvalt kehtivatest hanke alusdokumentidest ja nendes sätestatud tingimustest. Olukorras, kus hankelepingu olulised tingimused selguvad alles peale pakkumuse edukaks tunnistamist ja seejärel asutakse eduka pakkujaga hankelepingu oluliste tingimuste üle läbirääkimisi pidama, ei ole hange läbipaistev, samuti pole tagatud isikute võrdne kohtlemine. Käesoleval juhul oleks pakkujate ring, pakkumuste maksumus ja hanke lõpptulemus võinud olla teistsugune, kui hankija oleks järginud RHS-i. Sellest lähtuvalt pole toetuse saaja taganud struktuuritoetuse säästlikku ja läbipaistvat kasutamist ning Euroopa Liidu finantshuvisid on kahjustatud.</w:t>
      </w:r>
    </w:p>
    <w:p w14:paraId="0DC8D774"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Toetust taotledes nõustub taotleja toetuse saamise tingimustega (ka finantskorrektsiooni aluste, ulatuse ja korraga), sh toetuse saamisega seotud kohustustega (nende mittetäitmise korral, kui see on mõjutanud kulu abikõlblikkust, ei kuulu toetuse välja maksmisele). Toetuse saaja kohustuse või nõude täitmata jätmisel või osalisel täitmisel ei ole põhjendatud maksta toetust taotluse rahastamise otsuses sätestatud algses mahus, kuivõrd toetuse andja ei saa kokkulepitud tingimustel (sh Euroopa Liidu üldpõhimõtteid ja väärtusi järgivat) vastusooritust. Euroopa Kohtu praktikas (nt C-743/18) loetakse, et toetuse täiemahuline andmine olukorras, kus vastusooritus ei vasta enam kokkulepitud tingimustele, kahjustatakse põhjendamatult liidu eelarvet.</w:t>
      </w:r>
    </w:p>
    <w:p w14:paraId="6CFE400D"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b/>
          <w:bCs/>
          <w:sz w:val="24"/>
          <w:szCs w:val="24"/>
        </w:rPr>
      </w:pPr>
      <w:r w:rsidRPr="00547D14">
        <w:rPr>
          <w:rFonts w:ascii="Times New Roman" w:eastAsia="Calibri" w:hAnsi="Times New Roman" w:cs="Times New Roman"/>
          <w:sz w:val="24"/>
          <w:szCs w:val="24"/>
        </w:rPr>
        <w:t xml:space="preserve">Eeltoodust tulenevalt </w:t>
      </w:r>
      <w:r w:rsidRPr="00547D14">
        <w:rPr>
          <w:rFonts w:ascii="Times New Roman" w:eastAsia="Calibri" w:hAnsi="Times New Roman" w:cs="Times New Roman"/>
          <w:b/>
          <w:bCs/>
          <w:sz w:val="24"/>
          <w:szCs w:val="24"/>
        </w:rPr>
        <w:t>võttes arvesse rikkumise olemust, raskust ja ulatust, on rakendusüksuse hinnangul põhjendatud ja proportsionaalne kohaldada FKO punktis 3.1 toodud juhtumile 10%-list ja FKO punktis 3.2 juhtumile 25%-list finantskorrektsiooni määra.</w:t>
      </w:r>
    </w:p>
    <w:p w14:paraId="70EC146D"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Rakendusüksus selgitab täiendavalt, et ÜM2014 seletuskirja kohaselt on ÜM2014 sätestatud finantskorrektsiooni määradega juba kohustuse eiramise võimalikku mõju kaalutud. Lisaks täiendab seletuskiri, et riigihangete rikkumiste korral ei ole üldjuhul võimalik konkreetset kahjusummat välja arvutada, kuna tegemist on potentsiaalse ja teoreetilise (kaudse) kahjuga, mis võib tekkida õigusnormi rikkumisel ja konkreetsete asjaolude põhjal loetakse rikkumine tõendatuks. Eeltoodud põhimõtteid toetab ka Euroopa Kohus, selgitades kohtasjades nr C-743/18 ja C 406/14, et hanketingimuste rikkumise korral ei ole konkreetse finantsmõju tõendamine nõutav ja see ei pea olema nähtav. Piisab sellest, kui asjasse puutuva fondi eelarve mõjutamise võimalus ei ole välistatud.</w:t>
      </w:r>
    </w:p>
    <w:p w14:paraId="2BD89468"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ÜM2022 § 35 lõike 3 kohaselt, kui ühes hankes tuvastatakse enam kui üks rikkumine, mille mõju ei ole võimalik hinnata või selle hindamine on ebamõistlikult aja- või ressursimahukas, siis sama hanke erinevate rikkumiste korral rakendatakse suurimat finantskorrektsiooni määra. </w:t>
      </w:r>
    </w:p>
    <w:p w14:paraId="2EC22888"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Kuna riigihankes on tuvastatud enam kui üks rikkumine, millest FKO punktis 3.1 kirjeldatud rikkumiste osas peab rakendusüksus põhjendatuks kohaldada 10-protsendilist finantskorrektsiooni määra ja FKO punktis 3.2 rikkumisele 25-protsendilist finantskorrektsiooni </w:t>
      </w:r>
      <w:r w:rsidRPr="00547D14">
        <w:rPr>
          <w:rFonts w:ascii="Times New Roman" w:eastAsia="Calibri" w:hAnsi="Times New Roman" w:cs="Times New Roman"/>
          <w:sz w:val="24"/>
          <w:szCs w:val="24"/>
        </w:rPr>
        <w:lastRenderedPageBreak/>
        <w:t>määra, siis rakendatakse rikkumisega seotud hankelepingu kulude puhul tervikuna finantskorrektsiooni määra 25% ulatuses.</w:t>
      </w:r>
    </w:p>
    <w:p w14:paraId="6999BF92"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ÜM2022 § 35 lõike 5 alusel, ühtse määra alusel kulude hüvitamise korral kohaldatakse finantskorrektsiooni nii kuludele, millelt arvestatakse ühtset määra, kui ka ühtse määra alusel arvestatud kuludele.</w:t>
      </w:r>
    </w:p>
    <w:p w14:paraId="4A573FE5" w14:textId="77777777" w:rsidR="00547D14" w:rsidRPr="00547D14" w:rsidRDefault="00547D14" w:rsidP="00547D14">
      <w:pPr>
        <w:spacing w:before="240" w:after="240" w:line="240" w:lineRule="auto"/>
        <w:jc w:val="both"/>
        <w:rPr>
          <w:rFonts w:ascii="Times New Roman" w:eastAsia="Calibri" w:hAnsi="Times New Roman" w:cs="Times New Roman"/>
          <w:b/>
          <w:bCs/>
          <w:color w:val="000000" w:themeColor="text1"/>
          <w:sz w:val="24"/>
          <w:szCs w:val="24"/>
        </w:rPr>
      </w:pPr>
      <w:bookmarkStart w:id="8" w:name="abikolbmatud_kulud_ja_eelarve"/>
      <w:r w:rsidRPr="00547D14">
        <w:rPr>
          <w:rFonts w:ascii="Times New Roman" w:eastAsia="Calibri" w:hAnsi="Times New Roman" w:cs="Times New Roman"/>
          <w:b/>
          <w:bCs/>
          <w:color w:val="000000" w:themeColor="text1"/>
          <w:sz w:val="24"/>
          <w:szCs w:val="24"/>
        </w:rPr>
        <w:t>RIKKUMISE SUMMA JA EELARVE VÄHENDAMINE</w:t>
      </w:r>
    </w:p>
    <w:bookmarkEnd w:id="8"/>
    <w:p w14:paraId="103B17B3"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Toetuse saaja on riigihanke nr 283350 alusel tekkinud kulusid kajastanud projekti tegevuses nr 11. „Projekteerimine ja ehitamine“ kokku abikõlblikus summas 28 505 eurot (käibemaksuta), millest on arvestatud projekti tegevuses 15. „Ühtse määra alusel kulu (Otsene kulu 2%)“ summas 570,10 eurot. Kokku 29 075,10 eurot, millest toetuse saajale on välja makstud 9 338,10 eurot., täpsemalt tabelis 2.</w:t>
      </w:r>
    </w:p>
    <w:p w14:paraId="4608E9E5"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Tabel 2</w:t>
      </w:r>
    </w:p>
    <w:tbl>
      <w:tblPr>
        <w:tblW w:w="8359" w:type="dxa"/>
        <w:tblCellMar>
          <w:left w:w="70" w:type="dxa"/>
          <w:right w:w="70" w:type="dxa"/>
        </w:tblCellMar>
        <w:tblLook w:val="04A0" w:firstRow="1" w:lastRow="0" w:firstColumn="1" w:lastColumn="0" w:noHBand="0" w:noVBand="1"/>
      </w:tblPr>
      <w:tblGrid>
        <w:gridCol w:w="860"/>
        <w:gridCol w:w="1541"/>
        <w:gridCol w:w="1140"/>
        <w:gridCol w:w="1819"/>
        <w:gridCol w:w="1310"/>
        <w:gridCol w:w="1689"/>
      </w:tblGrid>
      <w:tr w:rsidR="00547D14" w:rsidRPr="00547D14" w14:paraId="04E38D6B" w14:textId="77777777" w:rsidTr="00721D5F">
        <w:trPr>
          <w:trHeight w:val="920"/>
        </w:trPr>
        <w:tc>
          <w:tcPr>
            <w:tcW w:w="860" w:type="dxa"/>
            <w:tcBorders>
              <w:top w:val="single" w:sz="4" w:space="0" w:color="auto"/>
              <w:left w:val="single" w:sz="4" w:space="0" w:color="auto"/>
              <w:bottom w:val="single" w:sz="4" w:space="0" w:color="auto"/>
              <w:right w:val="single" w:sz="4" w:space="0" w:color="auto"/>
            </w:tcBorders>
            <w:shd w:val="clear" w:color="FFFFFF" w:fill="F7F7F7"/>
            <w:vAlign w:val="center"/>
            <w:hideMark/>
          </w:tcPr>
          <w:p w14:paraId="5F01D50D" w14:textId="77777777" w:rsidR="00547D14" w:rsidRPr="00547D14" w:rsidRDefault="00547D14" w:rsidP="00547D14">
            <w:pPr>
              <w:spacing w:after="0" w:line="240" w:lineRule="auto"/>
              <w:jc w:val="center"/>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Kulu-doku-mendi tunnus</w:t>
            </w:r>
          </w:p>
        </w:tc>
        <w:tc>
          <w:tcPr>
            <w:tcW w:w="1541" w:type="dxa"/>
            <w:tcBorders>
              <w:top w:val="single" w:sz="4" w:space="0" w:color="auto"/>
              <w:left w:val="nil"/>
              <w:bottom w:val="single" w:sz="4" w:space="0" w:color="auto"/>
              <w:right w:val="single" w:sz="4" w:space="0" w:color="auto"/>
            </w:tcBorders>
            <w:shd w:val="clear" w:color="FFFFFF" w:fill="F7F7F7"/>
            <w:vAlign w:val="center"/>
            <w:hideMark/>
          </w:tcPr>
          <w:p w14:paraId="64572BE9" w14:textId="77777777" w:rsidR="00547D14" w:rsidRPr="00547D14" w:rsidRDefault="00547D14" w:rsidP="00547D14">
            <w:pPr>
              <w:spacing w:after="0" w:line="240" w:lineRule="auto"/>
              <w:jc w:val="center"/>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Kuludokumendi seisund</w:t>
            </w:r>
          </w:p>
        </w:tc>
        <w:tc>
          <w:tcPr>
            <w:tcW w:w="1140" w:type="dxa"/>
            <w:tcBorders>
              <w:top w:val="single" w:sz="4" w:space="0" w:color="auto"/>
              <w:left w:val="nil"/>
              <w:bottom w:val="single" w:sz="4" w:space="0" w:color="auto"/>
              <w:right w:val="single" w:sz="4" w:space="0" w:color="auto"/>
            </w:tcBorders>
            <w:shd w:val="clear" w:color="FFFFFF" w:fill="F7F7F7"/>
            <w:vAlign w:val="center"/>
            <w:hideMark/>
          </w:tcPr>
          <w:p w14:paraId="7F3C81D3" w14:textId="77777777" w:rsidR="00547D14" w:rsidRPr="00547D14" w:rsidRDefault="00547D14" w:rsidP="00547D14">
            <w:pPr>
              <w:spacing w:after="0" w:line="240" w:lineRule="auto"/>
              <w:jc w:val="center"/>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Projekti tegevuse number</w:t>
            </w:r>
          </w:p>
        </w:tc>
        <w:tc>
          <w:tcPr>
            <w:tcW w:w="1944" w:type="dxa"/>
            <w:tcBorders>
              <w:top w:val="single" w:sz="4" w:space="0" w:color="auto"/>
              <w:left w:val="nil"/>
              <w:bottom w:val="single" w:sz="4" w:space="0" w:color="auto"/>
              <w:right w:val="single" w:sz="4" w:space="0" w:color="auto"/>
            </w:tcBorders>
            <w:shd w:val="clear" w:color="FFFFFF" w:fill="F7F7F7"/>
            <w:vAlign w:val="center"/>
            <w:hideMark/>
          </w:tcPr>
          <w:p w14:paraId="4F4D8957" w14:textId="77777777" w:rsidR="00547D14" w:rsidRPr="00547D14" w:rsidRDefault="00547D14" w:rsidP="00547D14">
            <w:pPr>
              <w:spacing w:after="0" w:line="240" w:lineRule="auto"/>
              <w:jc w:val="center"/>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Projekti tegevus</w:t>
            </w:r>
          </w:p>
        </w:tc>
        <w:tc>
          <w:tcPr>
            <w:tcW w:w="1185" w:type="dxa"/>
            <w:tcBorders>
              <w:top w:val="single" w:sz="4" w:space="0" w:color="auto"/>
              <w:left w:val="nil"/>
              <w:bottom w:val="single" w:sz="4" w:space="0" w:color="auto"/>
              <w:right w:val="single" w:sz="4" w:space="0" w:color="auto"/>
            </w:tcBorders>
            <w:shd w:val="clear" w:color="FFFFFF" w:fill="F7F7F7"/>
            <w:vAlign w:val="center"/>
            <w:hideMark/>
          </w:tcPr>
          <w:p w14:paraId="6C9ABB06" w14:textId="77777777" w:rsidR="00547D14" w:rsidRPr="00547D14" w:rsidRDefault="00547D14" w:rsidP="00547D14">
            <w:pPr>
              <w:spacing w:after="0" w:line="240" w:lineRule="auto"/>
              <w:jc w:val="center"/>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Abikõlblik kogusumma</w:t>
            </w:r>
          </w:p>
        </w:tc>
        <w:tc>
          <w:tcPr>
            <w:tcW w:w="1689" w:type="dxa"/>
            <w:tcBorders>
              <w:top w:val="single" w:sz="4" w:space="0" w:color="auto"/>
              <w:left w:val="nil"/>
              <w:bottom w:val="single" w:sz="4" w:space="0" w:color="auto"/>
              <w:right w:val="single" w:sz="4" w:space="0" w:color="auto"/>
            </w:tcBorders>
            <w:shd w:val="clear" w:color="FFFFFF" w:fill="FFFFFF"/>
            <w:vAlign w:val="bottom"/>
            <w:hideMark/>
          </w:tcPr>
          <w:p w14:paraId="0705CF04" w14:textId="77777777" w:rsidR="00547D14" w:rsidRPr="00547D14" w:rsidRDefault="00547D14" w:rsidP="00547D14">
            <w:pPr>
              <w:spacing w:after="0" w:line="240" w:lineRule="auto"/>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FK määr 25%</w:t>
            </w:r>
          </w:p>
        </w:tc>
      </w:tr>
      <w:tr w:rsidR="00547D14" w:rsidRPr="00547D14" w14:paraId="5119B416" w14:textId="77777777" w:rsidTr="00721D5F">
        <w:trPr>
          <w:trHeight w:val="510"/>
        </w:trPr>
        <w:tc>
          <w:tcPr>
            <w:tcW w:w="860" w:type="dxa"/>
            <w:tcBorders>
              <w:top w:val="nil"/>
              <w:left w:val="single" w:sz="4" w:space="0" w:color="auto"/>
              <w:bottom w:val="single" w:sz="4" w:space="0" w:color="auto"/>
              <w:right w:val="single" w:sz="4" w:space="0" w:color="auto"/>
            </w:tcBorders>
            <w:shd w:val="clear" w:color="FFFFFF" w:fill="F0F0F4"/>
            <w:noWrap/>
            <w:vAlign w:val="bottom"/>
            <w:hideMark/>
          </w:tcPr>
          <w:p w14:paraId="28B507DB"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2</w:t>
            </w:r>
          </w:p>
        </w:tc>
        <w:tc>
          <w:tcPr>
            <w:tcW w:w="1541" w:type="dxa"/>
            <w:tcBorders>
              <w:top w:val="nil"/>
              <w:left w:val="nil"/>
              <w:bottom w:val="single" w:sz="4" w:space="0" w:color="auto"/>
              <w:right w:val="single" w:sz="4" w:space="0" w:color="auto"/>
            </w:tcBorders>
            <w:shd w:val="clear" w:color="FFFFFF" w:fill="F0F0F4"/>
            <w:noWrap/>
            <w:vAlign w:val="bottom"/>
            <w:hideMark/>
          </w:tcPr>
          <w:p w14:paraId="43FB290F"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makstud</w:t>
            </w:r>
          </w:p>
        </w:tc>
        <w:tc>
          <w:tcPr>
            <w:tcW w:w="1140" w:type="dxa"/>
            <w:tcBorders>
              <w:top w:val="nil"/>
              <w:left w:val="nil"/>
              <w:bottom w:val="single" w:sz="4" w:space="0" w:color="auto"/>
              <w:right w:val="single" w:sz="4" w:space="0" w:color="auto"/>
            </w:tcBorders>
            <w:shd w:val="clear" w:color="FFFFFF" w:fill="F0F0F4"/>
            <w:noWrap/>
            <w:vAlign w:val="bottom"/>
            <w:hideMark/>
          </w:tcPr>
          <w:p w14:paraId="15630FC0"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11</w:t>
            </w:r>
          </w:p>
        </w:tc>
        <w:tc>
          <w:tcPr>
            <w:tcW w:w="1944" w:type="dxa"/>
            <w:tcBorders>
              <w:top w:val="nil"/>
              <w:left w:val="nil"/>
              <w:bottom w:val="single" w:sz="4" w:space="0" w:color="auto"/>
              <w:right w:val="single" w:sz="4" w:space="0" w:color="auto"/>
            </w:tcBorders>
            <w:shd w:val="clear" w:color="FFFFFF" w:fill="F0F0F4"/>
            <w:vAlign w:val="bottom"/>
            <w:hideMark/>
          </w:tcPr>
          <w:p w14:paraId="145FF06D" w14:textId="77777777" w:rsidR="00547D14" w:rsidRPr="00547D14" w:rsidRDefault="00547D14" w:rsidP="00547D14">
            <w:pPr>
              <w:spacing w:after="0" w:line="240" w:lineRule="auto"/>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Projekteerimine ja ehitamine</w:t>
            </w:r>
          </w:p>
        </w:tc>
        <w:tc>
          <w:tcPr>
            <w:tcW w:w="1185" w:type="dxa"/>
            <w:tcBorders>
              <w:top w:val="nil"/>
              <w:left w:val="nil"/>
              <w:bottom w:val="single" w:sz="4" w:space="0" w:color="auto"/>
              <w:right w:val="single" w:sz="4" w:space="0" w:color="auto"/>
            </w:tcBorders>
            <w:shd w:val="clear" w:color="FFFFFF" w:fill="F0F0F4"/>
            <w:noWrap/>
            <w:vAlign w:val="bottom"/>
            <w:hideMark/>
          </w:tcPr>
          <w:p w14:paraId="3F973780" w14:textId="77777777" w:rsidR="00547D14" w:rsidRPr="00547D14" w:rsidRDefault="00547D14" w:rsidP="00547D14">
            <w:pPr>
              <w:spacing w:after="0" w:line="240" w:lineRule="auto"/>
              <w:jc w:val="right"/>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2 500,00</w:t>
            </w:r>
          </w:p>
        </w:tc>
        <w:tc>
          <w:tcPr>
            <w:tcW w:w="1689" w:type="dxa"/>
            <w:tcBorders>
              <w:top w:val="nil"/>
              <w:left w:val="nil"/>
              <w:bottom w:val="single" w:sz="4" w:space="0" w:color="auto"/>
              <w:right w:val="single" w:sz="4" w:space="0" w:color="auto"/>
            </w:tcBorders>
            <w:shd w:val="clear" w:color="FFFFFF" w:fill="FFFFFF"/>
            <w:noWrap/>
            <w:vAlign w:val="bottom"/>
            <w:hideMark/>
          </w:tcPr>
          <w:p w14:paraId="2739024B"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625,00</w:t>
            </w:r>
          </w:p>
        </w:tc>
      </w:tr>
      <w:tr w:rsidR="00547D14" w:rsidRPr="00547D14" w14:paraId="10E494D8" w14:textId="77777777" w:rsidTr="00721D5F">
        <w:trPr>
          <w:trHeight w:val="460"/>
        </w:trPr>
        <w:tc>
          <w:tcPr>
            <w:tcW w:w="860" w:type="dxa"/>
            <w:tcBorders>
              <w:top w:val="nil"/>
              <w:left w:val="single" w:sz="4" w:space="0" w:color="auto"/>
              <w:bottom w:val="single" w:sz="4" w:space="0" w:color="auto"/>
              <w:right w:val="single" w:sz="4" w:space="0" w:color="auto"/>
            </w:tcBorders>
            <w:shd w:val="clear" w:color="FFFFFF" w:fill="FFFFFF"/>
            <w:noWrap/>
            <w:vAlign w:val="bottom"/>
            <w:hideMark/>
          </w:tcPr>
          <w:p w14:paraId="621E9CB6"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2</w:t>
            </w:r>
          </w:p>
        </w:tc>
        <w:tc>
          <w:tcPr>
            <w:tcW w:w="1541" w:type="dxa"/>
            <w:tcBorders>
              <w:top w:val="nil"/>
              <w:left w:val="nil"/>
              <w:bottom w:val="single" w:sz="4" w:space="0" w:color="auto"/>
              <w:right w:val="single" w:sz="4" w:space="0" w:color="auto"/>
            </w:tcBorders>
            <w:shd w:val="clear" w:color="FFFFFF" w:fill="FFFFFF"/>
            <w:noWrap/>
            <w:vAlign w:val="bottom"/>
            <w:hideMark/>
          </w:tcPr>
          <w:p w14:paraId="4B6EE176"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makstud</w:t>
            </w:r>
          </w:p>
        </w:tc>
        <w:tc>
          <w:tcPr>
            <w:tcW w:w="1140" w:type="dxa"/>
            <w:tcBorders>
              <w:top w:val="nil"/>
              <w:left w:val="nil"/>
              <w:bottom w:val="single" w:sz="4" w:space="0" w:color="auto"/>
              <w:right w:val="single" w:sz="4" w:space="0" w:color="auto"/>
            </w:tcBorders>
            <w:shd w:val="clear" w:color="FFFFFF" w:fill="FFFFFF"/>
            <w:noWrap/>
            <w:vAlign w:val="bottom"/>
            <w:hideMark/>
          </w:tcPr>
          <w:p w14:paraId="77CC428E"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15</w:t>
            </w:r>
          </w:p>
        </w:tc>
        <w:tc>
          <w:tcPr>
            <w:tcW w:w="1944" w:type="dxa"/>
            <w:tcBorders>
              <w:top w:val="nil"/>
              <w:left w:val="nil"/>
              <w:bottom w:val="single" w:sz="4" w:space="0" w:color="auto"/>
              <w:right w:val="single" w:sz="4" w:space="0" w:color="auto"/>
            </w:tcBorders>
            <w:shd w:val="clear" w:color="FFFFFF" w:fill="FFFFFF"/>
            <w:vAlign w:val="bottom"/>
            <w:hideMark/>
          </w:tcPr>
          <w:p w14:paraId="722247DB" w14:textId="77777777" w:rsidR="00547D14" w:rsidRPr="00547D14" w:rsidRDefault="00547D14" w:rsidP="00547D14">
            <w:pPr>
              <w:spacing w:after="0" w:line="240" w:lineRule="auto"/>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Ühtse määra alusel kulu (Otsene kulu 2%)</w:t>
            </w:r>
          </w:p>
        </w:tc>
        <w:tc>
          <w:tcPr>
            <w:tcW w:w="1185" w:type="dxa"/>
            <w:tcBorders>
              <w:top w:val="nil"/>
              <w:left w:val="nil"/>
              <w:bottom w:val="single" w:sz="4" w:space="0" w:color="auto"/>
              <w:right w:val="single" w:sz="4" w:space="0" w:color="auto"/>
            </w:tcBorders>
            <w:shd w:val="clear" w:color="FFFFFF" w:fill="FFFFFF"/>
            <w:noWrap/>
            <w:vAlign w:val="bottom"/>
            <w:hideMark/>
          </w:tcPr>
          <w:p w14:paraId="282B8995" w14:textId="77777777" w:rsidR="00547D14" w:rsidRPr="00547D14" w:rsidRDefault="00547D14" w:rsidP="00547D14">
            <w:pPr>
              <w:spacing w:after="0" w:line="240" w:lineRule="auto"/>
              <w:jc w:val="right"/>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50,00</w:t>
            </w:r>
          </w:p>
        </w:tc>
        <w:tc>
          <w:tcPr>
            <w:tcW w:w="1689" w:type="dxa"/>
            <w:tcBorders>
              <w:top w:val="nil"/>
              <w:left w:val="nil"/>
              <w:bottom w:val="single" w:sz="4" w:space="0" w:color="auto"/>
              <w:right w:val="single" w:sz="4" w:space="0" w:color="auto"/>
            </w:tcBorders>
            <w:shd w:val="clear" w:color="FFFFFF" w:fill="FFFFFF"/>
            <w:noWrap/>
            <w:vAlign w:val="bottom"/>
            <w:hideMark/>
          </w:tcPr>
          <w:p w14:paraId="2949D7B2"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12,50</w:t>
            </w:r>
          </w:p>
        </w:tc>
      </w:tr>
      <w:tr w:rsidR="00547D14" w:rsidRPr="00547D14" w14:paraId="26AF13FC" w14:textId="77777777" w:rsidTr="00721D5F">
        <w:trPr>
          <w:trHeight w:val="470"/>
        </w:trPr>
        <w:tc>
          <w:tcPr>
            <w:tcW w:w="860" w:type="dxa"/>
            <w:tcBorders>
              <w:top w:val="nil"/>
              <w:left w:val="single" w:sz="4" w:space="0" w:color="auto"/>
              <w:bottom w:val="single" w:sz="4" w:space="0" w:color="auto"/>
              <w:right w:val="single" w:sz="4" w:space="0" w:color="auto"/>
            </w:tcBorders>
            <w:shd w:val="clear" w:color="FFFFFF" w:fill="F0F0F4"/>
            <w:noWrap/>
            <w:vAlign w:val="bottom"/>
            <w:hideMark/>
          </w:tcPr>
          <w:p w14:paraId="2C2ED965"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4</w:t>
            </w:r>
          </w:p>
        </w:tc>
        <w:tc>
          <w:tcPr>
            <w:tcW w:w="1541" w:type="dxa"/>
            <w:tcBorders>
              <w:top w:val="nil"/>
              <w:left w:val="nil"/>
              <w:bottom w:val="single" w:sz="4" w:space="0" w:color="auto"/>
              <w:right w:val="single" w:sz="4" w:space="0" w:color="auto"/>
            </w:tcBorders>
            <w:shd w:val="clear" w:color="FFFFFF" w:fill="F0F0F4"/>
            <w:noWrap/>
            <w:vAlign w:val="bottom"/>
            <w:hideMark/>
          </w:tcPr>
          <w:p w14:paraId="1C56B0A4"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makstud</w:t>
            </w:r>
          </w:p>
        </w:tc>
        <w:tc>
          <w:tcPr>
            <w:tcW w:w="1140" w:type="dxa"/>
            <w:tcBorders>
              <w:top w:val="nil"/>
              <w:left w:val="nil"/>
              <w:bottom w:val="single" w:sz="4" w:space="0" w:color="auto"/>
              <w:right w:val="single" w:sz="4" w:space="0" w:color="auto"/>
            </w:tcBorders>
            <w:shd w:val="clear" w:color="FFFFFF" w:fill="F0F0F4"/>
            <w:noWrap/>
            <w:vAlign w:val="bottom"/>
            <w:hideMark/>
          </w:tcPr>
          <w:p w14:paraId="44C338DA"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11</w:t>
            </w:r>
          </w:p>
        </w:tc>
        <w:tc>
          <w:tcPr>
            <w:tcW w:w="1944" w:type="dxa"/>
            <w:tcBorders>
              <w:top w:val="nil"/>
              <w:left w:val="nil"/>
              <w:bottom w:val="single" w:sz="4" w:space="0" w:color="auto"/>
              <w:right w:val="single" w:sz="4" w:space="0" w:color="auto"/>
            </w:tcBorders>
            <w:shd w:val="clear" w:color="FFFFFF" w:fill="F0F0F4"/>
            <w:vAlign w:val="bottom"/>
            <w:hideMark/>
          </w:tcPr>
          <w:p w14:paraId="1068E2A8" w14:textId="77777777" w:rsidR="00547D14" w:rsidRPr="00547D14" w:rsidRDefault="00547D14" w:rsidP="00547D14">
            <w:pPr>
              <w:spacing w:after="0" w:line="240" w:lineRule="auto"/>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Projekteerimine ja ehitamine</w:t>
            </w:r>
          </w:p>
        </w:tc>
        <w:tc>
          <w:tcPr>
            <w:tcW w:w="1185" w:type="dxa"/>
            <w:tcBorders>
              <w:top w:val="nil"/>
              <w:left w:val="nil"/>
              <w:bottom w:val="single" w:sz="4" w:space="0" w:color="auto"/>
              <w:right w:val="single" w:sz="4" w:space="0" w:color="auto"/>
            </w:tcBorders>
            <w:shd w:val="clear" w:color="FFFFFF" w:fill="F0F0F4"/>
            <w:noWrap/>
            <w:vAlign w:val="bottom"/>
            <w:hideMark/>
          </w:tcPr>
          <w:p w14:paraId="22CC0A3E" w14:textId="77777777" w:rsidR="00547D14" w:rsidRPr="00547D14" w:rsidRDefault="00547D14" w:rsidP="00547D14">
            <w:pPr>
              <w:spacing w:after="0" w:line="240" w:lineRule="auto"/>
              <w:jc w:val="right"/>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1 355,00</w:t>
            </w:r>
          </w:p>
        </w:tc>
        <w:tc>
          <w:tcPr>
            <w:tcW w:w="1689" w:type="dxa"/>
            <w:tcBorders>
              <w:top w:val="nil"/>
              <w:left w:val="nil"/>
              <w:bottom w:val="single" w:sz="4" w:space="0" w:color="auto"/>
              <w:right w:val="single" w:sz="4" w:space="0" w:color="auto"/>
            </w:tcBorders>
            <w:shd w:val="clear" w:color="FFFFFF" w:fill="FFFFFF"/>
            <w:noWrap/>
            <w:vAlign w:val="bottom"/>
            <w:hideMark/>
          </w:tcPr>
          <w:p w14:paraId="08B1C3BE"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338,75</w:t>
            </w:r>
          </w:p>
        </w:tc>
      </w:tr>
      <w:tr w:rsidR="00547D14" w:rsidRPr="00547D14" w14:paraId="49D8A8FE" w14:textId="77777777" w:rsidTr="00721D5F">
        <w:trPr>
          <w:trHeight w:val="480"/>
        </w:trPr>
        <w:tc>
          <w:tcPr>
            <w:tcW w:w="860" w:type="dxa"/>
            <w:tcBorders>
              <w:top w:val="nil"/>
              <w:left w:val="single" w:sz="4" w:space="0" w:color="auto"/>
              <w:bottom w:val="single" w:sz="4" w:space="0" w:color="auto"/>
              <w:right w:val="single" w:sz="4" w:space="0" w:color="auto"/>
            </w:tcBorders>
            <w:shd w:val="clear" w:color="FFFFFF" w:fill="FFFFFF"/>
            <w:noWrap/>
            <w:vAlign w:val="bottom"/>
            <w:hideMark/>
          </w:tcPr>
          <w:p w14:paraId="259E7AB9"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4</w:t>
            </w:r>
          </w:p>
        </w:tc>
        <w:tc>
          <w:tcPr>
            <w:tcW w:w="1541" w:type="dxa"/>
            <w:tcBorders>
              <w:top w:val="nil"/>
              <w:left w:val="nil"/>
              <w:bottom w:val="single" w:sz="4" w:space="0" w:color="auto"/>
              <w:right w:val="single" w:sz="4" w:space="0" w:color="auto"/>
            </w:tcBorders>
            <w:shd w:val="clear" w:color="FFFFFF" w:fill="FFFFFF"/>
            <w:noWrap/>
            <w:vAlign w:val="bottom"/>
            <w:hideMark/>
          </w:tcPr>
          <w:p w14:paraId="4BD6CC52"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makstud</w:t>
            </w:r>
          </w:p>
        </w:tc>
        <w:tc>
          <w:tcPr>
            <w:tcW w:w="1140" w:type="dxa"/>
            <w:tcBorders>
              <w:top w:val="nil"/>
              <w:left w:val="nil"/>
              <w:bottom w:val="single" w:sz="4" w:space="0" w:color="auto"/>
              <w:right w:val="single" w:sz="4" w:space="0" w:color="auto"/>
            </w:tcBorders>
            <w:shd w:val="clear" w:color="FFFFFF" w:fill="FFFFFF"/>
            <w:noWrap/>
            <w:vAlign w:val="bottom"/>
            <w:hideMark/>
          </w:tcPr>
          <w:p w14:paraId="0A6939B6"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15</w:t>
            </w:r>
          </w:p>
        </w:tc>
        <w:tc>
          <w:tcPr>
            <w:tcW w:w="1944" w:type="dxa"/>
            <w:tcBorders>
              <w:top w:val="nil"/>
              <w:left w:val="nil"/>
              <w:bottom w:val="single" w:sz="4" w:space="0" w:color="auto"/>
              <w:right w:val="single" w:sz="4" w:space="0" w:color="auto"/>
            </w:tcBorders>
            <w:shd w:val="clear" w:color="FFFFFF" w:fill="FFFFFF"/>
            <w:vAlign w:val="bottom"/>
            <w:hideMark/>
          </w:tcPr>
          <w:p w14:paraId="01D7BF62" w14:textId="77777777" w:rsidR="00547D14" w:rsidRPr="00547D14" w:rsidRDefault="00547D14" w:rsidP="00547D14">
            <w:pPr>
              <w:spacing w:after="0" w:line="240" w:lineRule="auto"/>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Ühtse määra alusel kulu (Otsene kulu 2%)</w:t>
            </w:r>
          </w:p>
        </w:tc>
        <w:tc>
          <w:tcPr>
            <w:tcW w:w="1185" w:type="dxa"/>
            <w:tcBorders>
              <w:top w:val="nil"/>
              <w:left w:val="nil"/>
              <w:bottom w:val="single" w:sz="4" w:space="0" w:color="auto"/>
              <w:right w:val="single" w:sz="4" w:space="0" w:color="auto"/>
            </w:tcBorders>
            <w:shd w:val="clear" w:color="FFFFFF" w:fill="FFFFFF"/>
            <w:noWrap/>
            <w:vAlign w:val="bottom"/>
            <w:hideMark/>
          </w:tcPr>
          <w:p w14:paraId="4CD5B1EC" w14:textId="77777777" w:rsidR="00547D14" w:rsidRPr="00547D14" w:rsidRDefault="00547D14" w:rsidP="00547D14">
            <w:pPr>
              <w:spacing w:after="0" w:line="240" w:lineRule="auto"/>
              <w:jc w:val="right"/>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27,10</w:t>
            </w:r>
          </w:p>
        </w:tc>
        <w:tc>
          <w:tcPr>
            <w:tcW w:w="1689" w:type="dxa"/>
            <w:tcBorders>
              <w:top w:val="nil"/>
              <w:left w:val="nil"/>
              <w:bottom w:val="single" w:sz="4" w:space="0" w:color="auto"/>
              <w:right w:val="single" w:sz="4" w:space="0" w:color="auto"/>
            </w:tcBorders>
            <w:shd w:val="clear" w:color="FFFFFF" w:fill="FFFFFF"/>
            <w:noWrap/>
            <w:vAlign w:val="bottom"/>
            <w:hideMark/>
          </w:tcPr>
          <w:p w14:paraId="3D1781BB"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6,78</w:t>
            </w:r>
          </w:p>
        </w:tc>
      </w:tr>
      <w:tr w:rsidR="00547D14" w:rsidRPr="00547D14" w14:paraId="7BCE6FF2" w14:textId="77777777" w:rsidTr="00721D5F">
        <w:trPr>
          <w:trHeight w:val="540"/>
        </w:trPr>
        <w:tc>
          <w:tcPr>
            <w:tcW w:w="860" w:type="dxa"/>
            <w:tcBorders>
              <w:top w:val="nil"/>
              <w:left w:val="single" w:sz="4" w:space="0" w:color="auto"/>
              <w:bottom w:val="single" w:sz="4" w:space="0" w:color="auto"/>
              <w:right w:val="single" w:sz="4" w:space="0" w:color="auto"/>
            </w:tcBorders>
            <w:shd w:val="clear" w:color="FFFFFF" w:fill="F0F0F4"/>
            <w:noWrap/>
            <w:vAlign w:val="bottom"/>
            <w:hideMark/>
          </w:tcPr>
          <w:p w14:paraId="17D7EBBF"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5</w:t>
            </w:r>
          </w:p>
        </w:tc>
        <w:tc>
          <w:tcPr>
            <w:tcW w:w="1541" w:type="dxa"/>
            <w:tcBorders>
              <w:top w:val="nil"/>
              <w:left w:val="nil"/>
              <w:bottom w:val="single" w:sz="4" w:space="0" w:color="auto"/>
              <w:right w:val="single" w:sz="4" w:space="0" w:color="auto"/>
            </w:tcBorders>
            <w:shd w:val="clear" w:color="FFFFFF" w:fill="F0F0F4"/>
            <w:noWrap/>
            <w:vAlign w:val="bottom"/>
            <w:hideMark/>
          </w:tcPr>
          <w:p w14:paraId="517BBF33"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makstud</w:t>
            </w:r>
          </w:p>
        </w:tc>
        <w:tc>
          <w:tcPr>
            <w:tcW w:w="1140" w:type="dxa"/>
            <w:tcBorders>
              <w:top w:val="nil"/>
              <w:left w:val="nil"/>
              <w:bottom w:val="single" w:sz="4" w:space="0" w:color="auto"/>
              <w:right w:val="single" w:sz="4" w:space="0" w:color="auto"/>
            </w:tcBorders>
            <w:shd w:val="clear" w:color="FFFFFF" w:fill="F0F0F4"/>
            <w:noWrap/>
            <w:vAlign w:val="bottom"/>
            <w:hideMark/>
          </w:tcPr>
          <w:p w14:paraId="1362E5F1"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11</w:t>
            </w:r>
          </w:p>
        </w:tc>
        <w:tc>
          <w:tcPr>
            <w:tcW w:w="1944" w:type="dxa"/>
            <w:tcBorders>
              <w:top w:val="nil"/>
              <w:left w:val="nil"/>
              <w:bottom w:val="single" w:sz="4" w:space="0" w:color="auto"/>
              <w:right w:val="single" w:sz="4" w:space="0" w:color="auto"/>
            </w:tcBorders>
            <w:shd w:val="clear" w:color="FFFFFF" w:fill="F0F0F4"/>
            <w:vAlign w:val="bottom"/>
            <w:hideMark/>
          </w:tcPr>
          <w:p w14:paraId="541BFCEE" w14:textId="77777777" w:rsidR="00547D14" w:rsidRPr="00547D14" w:rsidRDefault="00547D14" w:rsidP="00547D14">
            <w:pPr>
              <w:spacing w:after="0" w:line="240" w:lineRule="auto"/>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Projekteerimine ja ehitamine</w:t>
            </w:r>
          </w:p>
        </w:tc>
        <w:tc>
          <w:tcPr>
            <w:tcW w:w="1185" w:type="dxa"/>
            <w:tcBorders>
              <w:top w:val="nil"/>
              <w:left w:val="nil"/>
              <w:bottom w:val="single" w:sz="4" w:space="0" w:color="auto"/>
              <w:right w:val="single" w:sz="4" w:space="0" w:color="auto"/>
            </w:tcBorders>
            <w:shd w:val="clear" w:color="FFFFFF" w:fill="F0F0F4"/>
            <w:noWrap/>
            <w:vAlign w:val="bottom"/>
            <w:hideMark/>
          </w:tcPr>
          <w:p w14:paraId="50C32102" w14:textId="77777777" w:rsidR="00547D14" w:rsidRPr="00547D14" w:rsidRDefault="00547D14" w:rsidP="00547D14">
            <w:pPr>
              <w:spacing w:after="0" w:line="240" w:lineRule="auto"/>
              <w:jc w:val="right"/>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1 200,00</w:t>
            </w:r>
          </w:p>
        </w:tc>
        <w:tc>
          <w:tcPr>
            <w:tcW w:w="1689" w:type="dxa"/>
            <w:tcBorders>
              <w:top w:val="nil"/>
              <w:left w:val="nil"/>
              <w:bottom w:val="single" w:sz="4" w:space="0" w:color="auto"/>
              <w:right w:val="single" w:sz="4" w:space="0" w:color="auto"/>
            </w:tcBorders>
            <w:shd w:val="clear" w:color="FFFFFF" w:fill="FFFFFF"/>
            <w:noWrap/>
            <w:vAlign w:val="bottom"/>
            <w:hideMark/>
          </w:tcPr>
          <w:p w14:paraId="68D62ECD"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300,00</w:t>
            </w:r>
          </w:p>
        </w:tc>
      </w:tr>
      <w:tr w:rsidR="00547D14" w:rsidRPr="00547D14" w14:paraId="05F76333" w14:textId="77777777" w:rsidTr="00721D5F">
        <w:trPr>
          <w:trHeight w:val="470"/>
        </w:trPr>
        <w:tc>
          <w:tcPr>
            <w:tcW w:w="860" w:type="dxa"/>
            <w:tcBorders>
              <w:top w:val="nil"/>
              <w:left w:val="single" w:sz="4" w:space="0" w:color="auto"/>
              <w:bottom w:val="single" w:sz="4" w:space="0" w:color="auto"/>
              <w:right w:val="single" w:sz="4" w:space="0" w:color="auto"/>
            </w:tcBorders>
            <w:shd w:val="clear" w:color="FFFFFF" w:fill="FFFFFF"/>
            <w:noWrap/>
            <w:vAlign w:val="bottom"/>
            <w:hideMark/>
          </w:tcPr>
          <w:p w14:paraId="39A99252"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5</w:t>
            </w:r>
          </w:p>
        </w:tc>
        <w:tc>
          <w:tcPr>
            <w:tcW w:w="1541" w:type="dxa"/>
            <w:tcBorders>
              <w:top w:val="nil"/>
              <w:left w:val="nil"/>
              <w:bottom w:val="single" w:sz="4" w:space="0" w:color="auto"/>
              <w:right w:val="single" w:sz="4" w:space="0" w:color="auto"/>
            </w:tcBorders>
            <w:shd w:val="clear" w:color="FFFFFF" w:fill="FFFFFF"/>
            <w:noWrap/>
            <w:vAlign w:val="bottom"/>
            <w:hideMark/>
          </w:tcPr>
          <w:p w14:paraId="395F33EC"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makstud</w:t>
            </w:r>
          </w:p>
        </w:tc>
        <w:tc>
          <w:tcPr>
            <w:tcW w:w="1140" w:type="dxa"/>
            <w:tcBorders>
              <w:top w:val="nil"/>
              <w:left w:val="nil"/>
              <w:bottom w:val="single" w:sz="4" w:space="0" w:color="auto"/>
              <w:right w:val="single" w:sz="4" w:space="0" w:color="auto"/>
            </w:tcBorders>
            <w:shd w:val="clear" w:color="FFFFFF" w:fill="FFFFFF"/>
            <w:noWrap/>
            <w:vAlign w:val="bottom"/>
            <w:hideMark/>
          </w:tcPr>
          <w:p w14:paraId="1457C04D"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15</w:t>
            </w:r>
          </w:p>
        </w:tc>
        <w:tc>
          <w:tcPr>
            <w:tcW w:w="1944" w:type="dxa"/>
            <w:tcBorders>
              <w:top w:val="nil"/>
              <w:left w:val="nil"/>
              <w:bottom w:val="single" w:sz="4" w:space="0" w:color="auto"/>
              <w:right w:val="single" w:sz="4" w:space="0" w:color="auto"/>
            </w:tcBorders>
            <w:shd w:val="clear" w:color="FFFFFF" w:fill="FFFFFF"/>
            <w:vAlign w:val="bottom"/>
            <w:hideMark/>
          </w:tcPr>
          <w:p w14:paraId="0578FC1B" w14:textId="77777777" w:rsidR="00547D14" w:rsidRPr="00547D14" w:rsidRDefault="00547D14" w:rsidP="00547D14">
            <w:pPr>
              <w:spacing w:after="0" w:line="240" w:lineRule="auto"/>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Ühtse määra alusel kulu (Otsene kulu 2%)</w:t>
            </w:r>
          </w:p>
        </w:tc>
        <w:tc>
          <w:tcPr>
            <w:tcW w:w="1185" w:type="dxa"/>
            <w:tcBorders>
              <w:top w:val="nil"/>
              <w:left w:val="nil"/>
              <w:bottom w:val="single" w:sz="4" w:space="0" w:color="auto"/>
              <w:right w:val="single" w:sz="4" w:space="0" w:color="auto"/>
            </w:tcBorders>
            <w:shd w:val="clear" w:color="FFFFFF" w:fill="FFFFFF"/>
            <w:noWrap/>
            <w:vAlign w:val="bottom"/>
            <w:hideMark/>
          </w:tcPr>
          <w:p w14:paraId="0D6C38C8" w14:textId="77777777" w:rsidR="00547D14" w:rsidRPr="00547D14" w:rsidRDefault="00547D14" w:rsidP="00547D14">
            <w:pPr>
              <w:spacing w:after="0" w:line="240" w:lineRule="auto"/>
              <w:jc w:val="right"/>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24,00</w:t>
            </w:r>
          </w:p>
        </w:tc>
        <w:tc>
          <w:tcPr>
            <w:tcW w:w="1689" w:type="dxa"/>
            <w:tcBorders>
              <w:top w:val="nil"/>
              <w:left w:val="nil"/>
              <w:bottom w:val="single" w:sz="4" w:space="0" w:color="auto"/>
              <w:right w:val="single" w:sz="4" w:space="0" w:color="auto"/>
            </w:tcBorders>
            <w:shd w:val="clear" w:color="FFFFFF" w:fill="FFFFFF"/>
            <w:noWrap/>
            <w:vAlign w:val="bottom"/>
            <w:hideMark/>
          </w:tcPr>
          <w:p w14:paraId="0BCB0123"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6,00</w:t>
            </w:r>
          </w:p>
        </w:tc>
      </w:tr>
      <w:tr w:rsidR="00547D14" w:rsidRPr="00547D14" w14:paraId="6383315B" w14:textId="77777777" w:rsidTr="00721D5F">
        <w:trPr>
          <w:trHeight w:val="520"/>
        </w:trPr>
        <w:tc>
          <w:tcPr>
            <w:tcW w:w="860" w:type="dxa"/>
            <w:tcBorders>
              <w:top w:val="nil"/>
              <w:left w:val="single" w:sz="4" w:space="0" w:color="auto"/>
              <w:bottom w:val="single" w:sz="4" w:space="0" w:color="auto"/>
              <w:right w:val="single" w:sz="4" w:space="0" w:color="auto"/>
            </w:tcBorders>
            <w:shd w:val="clear" w:color="FFFFFF" w:fill="F0F0F4"/>
            <w:noWrap/>
            <w:vAlign w:val="bottom"/>
            <w:hideMark/>
          </w:tcPr>
          <w:p w14:paraId="7EA559F0"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9</w:t>
            </w:r>
          </w:p>
        </w:tc>
        <w:tc>
          <w:tcPr>
            <w:tcW w:w="1541" w:type="dxa"/>
            <w:tcBorders>
              <w:top w:val="nil"/>
              <w:left w:val="nil"/>
              <w:bottom w:val="single" w:sz="4" w:space="0" w:color="auto"/>
              <w:right w:val="single" w:sz="4" w:space="0" w:color="auto"/>
            </w:tcBorders>
            <w:shd w:val="clear" w:color="FFFFFF" w:fill="F0F0F4"/>
            <w:noWrap/>
            <w:vAlign w:val="bottom"/>
            <w:hideMark/>
          </w:tcPr>
          <w:p w14:paraId="28785828"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makstud</w:t>
            </w:r>
          </w:p>
        </w:tc>
        <w:tc>
          <w:tcPr>
            <w:tcW w:w="1140" w:type="dxa"/>
            <w:tcBorders>
              <w:top w:val="nil"/>
              <w:left w:val="nil"/>
              <w:bottom w:val="single" w:sz="4" w:space="0" w:color="auto"/>
              <w:right w:val="single" w:sz="4" w:space="0" w:color="auto"/>
            </w:tcBorders>
            <w:shd w:val="clear" w:color="FFFFFF" w:fill="F0F0F4"/>
            <w:noWrap/>
            <w:vAlign w:val="bottom"/>
            <w:hideMark/>
          </w:tcPr>
          <w:p w14:paraId="2BDAB5B3"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11</w:t>
            </w:r>
          </w:p>
        </w:tc>
        <w:tc>
          <w:tcPr>
            <w:tcW w:w="1944" w:type="dxa"/>
            <w:tcBorders>
              <w:top w:val="nil"/>
              <w:left w:val="nil"/>
              <w:bottom w:val="single" w:sz="4" w:space="0" w:color="auto"/>
              <w:right w:val="single" w:sz="4" w:space="0" w:color="auto"/>
            </w:tcBorders>
            <w:shd w:val="clear" w:color="FFFFFF" w:fill="F0F0F4"/>
            <w:vAlign w:val="bottom"/>
            <w:hideMark/>
          </w:tcPr>
          <w:p w14:paraId="00794C3A" w14:textId="77777777" w:rsidR="00547D14" w:rsidRPr="00547D14" w:rsidRDefault="00547D14" w:rsidP="00547D14">
            <w:pPr>
              <w:spacing w:after="0" w:line="240" w:lineRule="auto"/>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Projekteerimine ja ehitamine</w:t>
            </w:r>
          </w:p>
        </w:tc>
        <w:tc>
          <w:tcPr>
            <w:tcW w:w="1185" w:type="dxa"/>
            <w:tcBorders>
              <w:top w:val="nil"/>
              <w:left w:val="nil"/>
              <w:bottom w:val="single" w:sz="4" w:space="0" w:color="auto"/>
              <w:right w:val="single" w:sz="4" w:space="0" w:color="auto"/>
            </w:tcBorders>
            <w:shd w:val="clear" w:color="FFFFFF" w:fill="F0F0F4"/>
            <w:noWrap/>
            <w:vAlign w:val="bottom"/>
            <w:hideMark/>
          </w:tcPr>
          <w:p w14:paraId="486E0963" w14:textId="77777777" w:rsidR="00547D14" w:rsidRPr="00547D14" w:rsidRDefault="00547D14" w:rsidP="00547D14">
            <w:pPr>
              <w:spacing w:after="0" w:line="240" w:lineRule="auto"/>
              <w:jc w:val="right"/>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4 100,00</w:t>
            </w:r>
          </w:p>
        </w:tc>
        <w:tc>
          <w:tcPr>
            <w:tcW w:w="1689" w:type="dxa"/>
            <w:tcBorders>
              <w:top w:val="nil"/>
              <w:left w:val="nil"/>
              <w:bottom w:val="single" w:sz="4" w:space="0" w:color="auto"/>
              <w:right w:val="single" w:sz="4" w:space="0" w:color="auto"/>
            </w:tcBorders>
            <w:shd w:val="clear" w:color="FFFFFF" w:fill="FFFFFF"/>
            <w:noWrap/>
            <w:vAlign w:val="bottom"/>
            <w:hideMark/>
          </w:tcPr>
          <w:p w14:paraId="406AFD46"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1 025,00</w:t>
            </w:r>
          </w:p>
        </w:tc>
      </w:tr>
      <w:tr w:rsidR="00547D14" w:rsidRPr="00547D14" w14:paraId="4C6D0C76" w14:textId="77777777" w:rsidTr="00721D5F">
        <w:trPr>
          <w:trHeight w:val="470"/>
        </w:trPr>
        <w:tc>
          <w:tcPr>
            <w:tcW w:w="860" w:type="dxa"/>
            <w:tcBorders>
              <w:top w:val="nil"/>
              <w:left w:val="single" w:sz="4" w:space="0" w:color="auto"/>
              <w:bottom w:val="single" w:sz="4" w:space="0" w:color="auto"/>
              <w:right w:val="single" w:sz="4" w:space="0" w:color="auto"/>
            </w:tcBorders>
            <w:shd w:val="clear" w:color="FFFFFF" w:fill="FFFFFF"/>
            <w:noWrap/>
            <w:vAlign w:val="bottom"/>
            <w:hideMark/>
          </w:tcPr>
          <w:p w14:paraId="3B09627A"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9</w:t>
            </w:r>
          </w:p>
        </w:tc>
        <w:tc>
          <w:tcPr>
            <w:tcW w:w="1541" w:type="dxa"/>
            <w:tcBorders>
              <w:top w:val="nil"/>
              <w:left w:val="nil"/>
              <w:bottom w:val="single" w:sz="4" w:space="0" w:color="auto"/>
              <w:right w:val="single" w:sz="4" w:space="0" w:color="auto"/>
            </w:tcBorders>
            <w:shd w:val="clear" w:color="FFFFFF" w:fill="FFFFFF"/>
            <w:noWrap/>
            <w:vAlign w:val="bottom"/>
            <w:hideMark/>
          </w:tcPr>
          <w:p w14:paraId="7213A3CE"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makstud</w:t>
            </w:r>
          </w:p>
        </w:tc>
        <w:tc>
          <w:tcPr>
            <w:tcW w:w="1140" w:type="dxa"/>
            <w:tcBorders>
              <w:top w:val="nil"/>
              <w:left w:val="nil"/>
              <w:bottom w:val="single" w:sz="4" w:space="0" w:color="auto"/>
              <w:right w:val="single" w:sz="4" w:space="0" w:color="auto"/>
            </w:tcBorders>
            <w:shd w:val="clear" w:color="FFFFFF" w:fill="FFFFFF"/>
            <w:noWrap/>
            <w:vAlign w:val="bottom"/>
            <w:hideMark/>
          </w:tcPr>
          <w:p w14:paraId="76800C98"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15</w:t>
            </w:r>
          </w:p>
        </w:tc>
        <w:tc>
          <w:tcPr>
            <w:tcW w:w="1944" w:type="dxa"/>
            <w:tcBorders>
              <w:top w:val="nil"/>
              <w:left w:val="nil"/>
              <w:bottom w:val="single" w:sz="4" w:space="0" w:color="auto"/>
              <w:right w:val="single" w:sz="4" w:space="0" w:color="auto"/>
            </w:tcBorders>
            <w:shd w:val="clear" w:color="FFFFFF" w:fill="FFFFFF"/>
            <w:vAlign w:val="bottom"/>
            <w:hideMark/>
          </w:tcPr>
          <w:p w14:paraId="29701FAD" w14:textId="77777777" w:rsidR="00547D14" w:rsidRPr="00547D14" w:rsidRDefault="00547D14" w:rsidP="00547D14">
            <w:pPr>
              <w:spacing w:after="0" w:line="240" w:lineRule="auto"/>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Ühtse määra alusel kulu (Otsene kulu 2%)</w:t>
            </w:r>
          </w:p>
        </w:tc>
        <w:tc>
          <w:tcPr>
            <w:tcW w:w="1185" w:type="dxa"/>
            <w:tcBorders>
              <w:top w:val="nil"/>
              <w:left w:val="nil"/>
              <w:bottom w:val="single" w:sz="4" w:space="0" w:color="auto"/>
              <w:right w:val="single" w:sz="4" w:space="0" w:color="auto"/>
            </w:tcBorders>
            <w:shd w:val="clear" w:color="FFFFFF" w:fill="FFFFFF"/>
            <w:noWrap/>
            <w:vAlign w:val="bottom"/>
            <w:hideMark/>
          </w:tcPr>
          <w:p w14:paraId="4D7BFE72" w14:textId="77777777" w:rsidR="00547D14" w:rsidRPr="00547D14" w:rsidRDefault="00547D14" w:rsidP="00547D14">
            <w:pPr>
              <w:spacing w:after="0" w:line="240" w:lineRule="auto"/>
              <w:jc w:val="right"/>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82,00</w:t>
            </w:r>
          </w:p>
        </w:tc>
        <w:tc>
          <w:tcPr>
            <w:tcW w:w="1689" w:type="dxa"/>
            <w:tcBorders>
              <w:top w:val="nil"/>
              <w:left w:val="nil"/>
              <w:bottom w:val="single" w:sz="4" w:space="0" w:color="auto"/>
              <w:right w:val="single" w:sz="4" w:space="0" w:color="auto"/>
            </w:tcBorders>
            <w:shd w:val="clear" w:color="FFFFFF" w:fill="FFFFFF"/>
            <w:noWrap/>
            <w:vAlign w:val="bottom"/>
            <w:hideMark/>
          </w:tcPr>
          <w:p w14:paraId="28DD4A03"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20,50</w:t>
            </w:r>
          </w:p>
        </w:tc>
      </w:tr>
      <w:tr w:rsidR="00547D14" w:rsidRPr="00547D14" w14:paraId="0535C04E" w14:textId="77777777" w:rsidTr="00721D5F">
        <w:trPr>
          <w:trHeight w:val="470"/>
        </w:trPr>
        <w:tc>
          <w:tcPr>
            <w:tcW w:w="860" w:type="dxa"/>
            <w:tcBorders>
              <w:top w:val="nil"/>
              <w:left w:val="single" w:sz="4" w:space="0" w:color="auto"/>
              <w:bottom w:val="single" w:sz="4" w:space="0" w:color="auto"/>
              <w:right w:val="single" w:sz="4" w:space="0" w:color="auto"/>
            </w:tcBorders>
            <w:shd w:val="clear" w:color="FFFFFF" w:fill="F0F0F4"/>
            <w:noWrap/>
            <w:vAlign w:val="bottom"/>
            <w:hideMark/>
          </w:tcPr>
          <w:p w14:paraId="0E83EDA0"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8</w:t>
            </w:r>
          </w:p>
        </w:tc>
        <w:tc>
          <w:tcPr>
            <w:tcW w:w="1541" w:type="dxa"/>
            <w:tcBorders>
              <w:top w:val="nil"/>
              <w:left w:val="nil"/>
              <w:bottom w:val="single" w:sz="4" w:space="0" w:color="auto"/>
              <w:right w:val="single" w:sz="4" w:space="0" w:color="auto"/>
            </w:tcBorders>
            <w:shd w:val="clear" w:color="FFFFFF" w:fill="F0F0F4"/>
            <w:noWrap/>
            <w:vAlign w:val="bottom"/>
            <w:hideMark/>
          </w:tcPr>
          <w:p w14:paraId="763FD608"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välja maksmata</w:t>
            </w:r>
          </w:p>
        </w:tc>
        <w:tc>
          <w:tcPr>
            <w:tcW w:w="1140" w:type="dxa"/>
            <w:tcBorders>
              <w:top w:val="nil"/>
              <w:left w:val="nil"/>
              <w:bottom w:val="single" w:sz="4" w:space="0" w:color="auto"/>
              <w:right w:val="single" w:sz="4" w:space="0" w:color="auto"/>
            </w:tcBorders>
            <w:shd w:val="clear" w:color="FFFFFF" w:fill="F0F0F4"/>
            <w:noWrap/>
            <w:vAlign w:val="bottom"/>
            <w:hideMark/>
          </w:tcPr>
          <w:p w14:paraId="0A02F8FB"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11</w:t>
            </w:r>
          </w:p>
        </w:tc>
        <w:tc>
          <w:tcPr>
            <w:tcW w:w="1944" w:type="dxa"/>
            <w:tcBorders>
              <w:top w:val="nil"/>
              <w:left w:val="nil"/>
              <w:bottom w:val="single" w:sz="4" w:space="0" w:color="auto"/>
              <w:right w:val="single" w:sz="4" w:space="0" w:color="auto"/>
            </w:tcBorders>
            <w:shd w:val="clear" w:color="FFFFFF" w:fill="F0F0F4"/>
            <w:vAlign w:val="bottom"/>
            <w:hideMark/>
          </w:tcPr>
          <w:p w14:paraId="2F166344" w14:textId="77777777" w:rsidR="00547D14" w:rsidRPr="00547D14" w:rsidRDefault="00547D14" w:rsidP="00547D14">
            <w:pPr>
              <w:spacing w:after="0" w:line="240" w:lineRule="auto"/>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Projekteerimine ja ehitamine</w:t>
            </w:r>
          </w:p>
        </w:tc>
        <w:tc>
          <w:tcPr>
            <w:tcW w:w="1185" w:type="dxa"/>
            <w:tcBorders>
              <w:top w:val="nil"/>
              <w:left w:val="nil"/>
              <w:bottom w:val="single" w:sz="4" w:space="0" w:color="auto"/>
              <w:right w:val="single" w:sz="4" w:space="0" w:color="auto"/>
            </w:tcBorders>
            <w:shd w:val="clear" w:color="FFFFFF" w:fill="F0F0F4"/>
            <w:noWrap/>
            <w:vAlign w:val="bottom"/>
            <w:hideMark/>
          </w:tcPr>
          <w:p w14:paraId="08EAF662" w14:textId="77777777" w:rsidR="00547D14" w:rsidRPr="00547D14" w:rsidRDefault="00547D14" w:rsidP="00547D14">
            <w:pPr>
              <w:spacing w:after="0" w:line="240" w:lineRule="auto"/>
              <w:jc w:val="right"/>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19 350,00</w:t>
            </w:r>
          </w:p>
        </w:tc>
        <w:tc>
          <w:tcPr>
            <w:tcW w:w="1689" w:type="dxa"/>
            <w:tcBorders>
              <w:top w:val="nil"/>
              <w:left w:val="nil"/>
              <w:bottom w:val="single" w:sz="4" w:space="0" w:color="auto"/>
              <w:right w:val="single" w:sz="4" w:space="0" w:color="auto"/>
            </w:tcBorders>
            <w:shd w:val="clear" w:color="FFFFFF" w:fill="FFFFFF"/>
            <w:noWrap/>
            <w:vAlign w:val="bottom"/>
            <w:hideMark/>
          </w:tcPr>
          <w:p w14:paraId="38FAB670"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4 837,50</w:t>
            </w:r>
          </w:p>
        </w:tc>
      </w:tr>
      <w:tr w:rsidR="00547D14" w:rsidRPr="00547D14" w14:paraId="6C554972" w14:textId="77777777" w:rsidTr="00721D5F">
        <w:trPr>
          <w:trHeight w:val="470"/>
        </w:trPr>
        <w:tc>
          <w:tcPr>
            <w:tcW w:w="860" w:type="dxa"/>
            <w:tcBorders>
              <w:top w:val="nil"/>
              <w:left w:val="single" w:sz="4" w:space="0" w:color="auto"/>
              <w:bottom w:val="single" w:sz="4" w:space="0" w:color="auto"/>
              <w:right w:val="single" w:sz="4" w:space="0" w:color="auto"/>
            </w:tcBorders>
            <w:shd w:val="clear" w:color="FFFFFF" w:fill="FFFFFF"/>
            <w:noWrap/>
            <w:vAlign w:val="bottom"/>
            <w:hideMark/>
          </w:tcPr>
          <w:p w14:paraId="7A1F2D19"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8</w:t>
            </w:r>
          </w:p>
        </w:tc>
        <w:tc>
          <w:tcPr>
            <w:tcW w:w="1541" w:type="dxa"/>
            <w:tcBorders>
              <w:top w:val="nil"/>
              <w:left w:val="nil"/>
              <w:bottom w:val="single" w:sz="4" w:space="0" w:color="auto"/>
              <w:right w:val="single" w:sz="4" w:space="0" w:color="auto"/>
            </w:tcBorders>
            <w:shd w:val="clear" w:color="FFFFFF" w:fill="FFFFFF"/>
            <w:noWrap/>
            <w:vAlign w:val="bottom"/>
            <w:hideMark/>
          </w:tcPr>
          <w:p w14:paraId="19122433"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välja maksmata</w:t>
            </w:r>
          </w:p>
        </w:tc>
        <w:tc>
          <w:tcPr>
            <w:tcW w:w="1140" w:type="dxa"/>
            <w:tcBorders>
              <w:top w:val="nil"/>
              <w:left w:val="nil"/>
              <w:bottom w:val="single" w:sz="4" w:space="0" w:color="auto"/>
              <w:right w:val="single" w:sz="4" w:space="0" w:color="auto"/>
            </w:tcBorders>
            <w:shd w:val="clear" w:color="FFFFFF" w:fill="FFFFFF"/>
            <w:noWrap/>
            <w:vAlign w:val="bottom"/>
            <w:hideMark/>
          </w:tcPr>
          <w:p w14:paraId="680385C7" w14:textId="77777777" w:rsidR="00547D14" w:rsidRPr="00547D14" w:rsidRDefault="00547D14" w:rsidP="00547D14">
            <w:pPr>
              <w:spacing w:after="0" w:line="240" w:lineRule="auto"/>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15</w:t>
            </w:r>
          </w:p>
        </w:tc>
        <w:tc>
          <w:tcPr>
            <w:tcW w:w="1944" w:type="dxa"/>
            <w:tcBorders>
              <w:top w:val="nil"/>
              <w:left w:val="nil"/>
              <w:bottom w:val="single" w:sz="4" w:space="0" w:color="auto"/>
              <w:right w:val="single" w:sz="4" w:space="0" w:color="auto"/>
            </w:tcBorders>
            <w:shd w:val="clear" w:color="FFFFFF" w:fill="FFFFFF"/>
            <w:vAlign w:val="bottom"/>
            <w:hideMark/>
          </w:tcPr>
          <w:p w14:paraId="6A30078B" w14:textId="77777777" w:rsidR="00547D14" w:rsidRPr="00547D14" w:rsidRDefault="00547D14" w:rsidP="00547D14">
            <w:pPr>
              <w:spacing w:after="0" w:line="240" w:lineRule="auto"/>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Ühtse määra alusel kulu (Otsene kulu 2%)</w:t>
            </w:r>
          </w:p>
        </w:tc>
        <w:tc>
          <w:tcPr>
            <w:tcW w:w="1185" w:type="dxa"/>
            <w:tcBorders>
              <w:top w:val="nil"/>
              <w:left w:val="nil"/>
              <w:bottom w:val="single" w:sz="4" w:space="0" w:color="auto"/>
              <w:right w:val="single" w:sz="4" w:space="0" w:color="auto"/>
            </w:tcBorders>
            <w:shd w:val="clear" w:color="FFFFFF" w:fill="FFFFFF"/>
            <w:noWrap/>
            <w:vAlign w:val="bottom"/>
            <w:hideMark/>
          </w:tcPr>
          <w:p w14:paraId="4F9E610C" w14:textId="77777777" w:rsidR="00547D14" w:rsidRPr="00547D14" w:rsidRDefault="00547D14" w:rsidP="00547D14">
            <w:pPr>
              <w:spacing w:after="0" w:line="240" w:lineRule="auto"/>
              <w:jc w:val="right"/>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387,00</w:t>
            </w:r>
          </w:p>
        </w:tc>
        <w:tc>
          <w:tcPr>
            <w:tcW w:w="1689" w:type="dxa"/>
            <w:tcBorders>
              <w:top w:val="nil"/>
              <w:left w:val="nil"/>
              <w:bottom w:val="single" w:sz="4" w:space="0" w:color="auto"/>
              <w:right w:val="single" w:sz="4" w:space="0" w:color="auto"/>
            </w:tcBorders>
            <w:shd w:val="clear" w:color="FFFFFF" w:fill="FFFFFF"/>
            <w:noWrap/>
            <w:vAlign w:val="bottom"/>
            <w:hideMark/>
          </w:tcPr>
          <w:p w14:paraId="09FDE560"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96,75</w:t>
            </w:r>
          </w:p>
        </w:tc>
      </w:tr>
      <w:tr w:rsidR="00547D14" w:rsidRPr="00547D14" w14:paraId="59BDB4FE" w14:textId="77777777" w:rsidTr="00721D5F">
        <w:trPr>
          <w:trHeight w:val="260"/>
        </w:trPr>
        <w:tc>
          <w:tcPr>
            <w:tcW w:w="860" w:type="dxa"/>
            <w:tcBorders>
              <w:top w:val="nil"/>
              <w:left w:val="single" w:sz="4" w:space="0" w:color="auto"/>
              <w:bottom w:val="single" w:sz="4" w:space="0" w:color="auto"/>
              <w:right w:val="single" w:sz="4" w:space="0" w:color="auto"/>
            </w:tcBorders>
            <w:shd w:val="clear" w:color="FFFFFF" w:fill="FFFFFF"/>
            <w:noWrap/>
            <w:vAlign w:val="center"/>
            <w:hideMark/>
          </w:tcPr>
          <w:p w14:paraId="1EEF95C0" w14:textId="77777777" w:rsidR="00547D14" w:rsidRPr="00547D14" w:rsidRDefault="00547D14" w:rsidP="00547D14">
            <w:pPr>
              <w:spacing w:after="0" w:line="240" w:lineRule="auto"/>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 </w:t>
            </w:r>
          </w:p>
        </w:tc>
        <w:tc>
          <w:tcPr>
            <w:tcW w:w="1541" w:type="dxa"/>
            <w:tcBorders>
              <w:top w:val="nil"/>
              <w:left w:val="nil"/>
              <w:bottom w:val="single" w:sz="4" w:space="0" w:color="auto"/>
              <w:right w:val="single" w:sz="4" w:space="0" w:color="auto"/>
            </w:tcBorders>
            <w:shd w:val="clear" w:color="FFFFFF" w:fill="FFFFFF"/>
            <w:noWrap/>
            <w:vAlign w:val="center"/>
            <w:hideMark/>
          </w:tcPr>
          <w:p w14:paraId="685099A0" w14:textId="77777777" w:rsidR="00547D14" w:rsidRPr="00547D14" w:rsidRDefault="00547D14" w:rsidP="00547D14">
            <w:pPr>
              <w:spacing w:after="0" w:line="240" w:lineRule="auto"/>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 </w:t>
            </w:r>
          </w:p>
        </w:tc>
        <w:tc>
          <w:tcPr>
            <w:tcW w:w="1140" w:type="dxa"/>
            <w:tcBorders>
              <w:top w:val="nil"/>
              <w:left w:val="nil"/>
              <w:bottom w:val="single" w:sz="4" w:space="0" w:color="auto"/>
              <w:right w:val="single" w:sz="4" w:space="0" w:color="auto"/>
            </w:tcBorders>
            <w:shd w:val="clear" w:color="FFFFFF" w:fill="FFFFFF"/>
            <w:noWrap/>
            <w:vAlign w:val="center"/>
            <w:hideMark/>
          </w:tcPr>
          <w:p w14:paraId="772275C6" w14:textId="77777777" w:rsidR="00547D14" w:rsidRPr="00547D14" w:rsidRDefault="00547D14" w:rsidP="00547D14">
            <w:pPr>
              <w:spacing w:after="0" w:line="240" w:lineRule="auto"/>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 </w:t>
            </w:r>
          </w:p>
        </w:tc>
        <w:tc>
          <w:tcPr>
            <w:tcW w:w="1944" w:type="dxa"/>
            <w:tcBorders>
              <w:top w:val="nil"/>
              <w:left w:val="nil"/>
              <w:bottom w:val="single" w:sz="4" w:space="0" w:color="auto"/>
              <w:right w:val="single" w:sz="4" w:space="0" w:color="auto"/>
            </w:tcBorders>
            <w:shd w:val="clear" w:color="FFFFFF" w:fill="FFFFFF"/>
            <w:vAlign w:val="center"/>
            <w:hideMark/>
          </w:tcPr>
          <w:p w14:paraId="000D274B" w14:textId="77777777" w:rsidR="00547D14" w:rsidRPr="00547D14" w:rsidRDefault="00547D14" w:rsidP="00547D14">
            <w:pPr>
              <w:spacing w:after="0" w:line="240" w:lineRule="auto"/>
              <w:jc w:val="right"/>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KOKKU</w:t>
            </w:r>
          </w:p>
        </w:tc>
        <w:tc>
          <w:tcPr>
            <w:tcW w:w="1185" w:type="dxa"/>
            <w:tcBorders>
              <w:top w:val="nil"/>
              <w:left w:val="nil"/>
              <w:bottom w:val="single" w:sz="4" w:space="0" w:color="auto"/>
              <w:right w:val="single" w:sz="4" w:space="0" w:color="auto"/>
            </w:tcBorders>
            <w:shd w:val="clear" w:color="FFFFFF" w:fill="FFFFFF"/>
            <w:noWrap/>
            <w:vAlign w:val="center"/>
            <w:hideMark/>
          </w:tcPr>
          <w:p w14:paraId="13A90D30" w14:textId="77777777" w:rsidR="00547D14" w:rsidRPr="00547D14" w:rsidRDefault="00547D14" w:rsidP="00547D14">
            <w:pPr>
              <w:numPr>
                <w:ilvl w:val="0"/>
                <w:numId w:val="35"/>
              </w:numPr>
              <w:spacing w:after="0" w:line="240" w:lineRule="auto"/>
              <w:contextualSpacing/>
              <w:jc w:val="center"/>
              <w:rPr>
                <w:rFonts w:ascii="Times New Roman" w:eastAsia="Times New Roman" w:hAnsi="Times New Roman" w:cs="Times New Roman"/>
                <w:color w:val="000000"/>
                <w:sz w:val="20"/>
                <w:szCs w:val="20"/>
                <w:lang w:eastAsia="et-EE"/>
              </w:rPr>
            </w:pPr>
            <w:r w:rsidRPr="00547D14">
              <w:rPr>
                <w:rFonts w:ascii="Times New Roman" w:eastAsia="Times New Roman" w:hAnsi="Times New Roman" w:cs="Times New Roman"/>
                <w:color w:val="000000"/>
                <w:sz w:val="20"/>
                <w:szCs w:val="20"/>
                <w:lang w:eastAsia="et-EE"/>
              </w:rPr>
              <w:t>75,10</w:t>
            </w:r>
          </w:p>
        </w:tc>
        <w:tc>
          <w:tcPr>
            <w:tcW w:w="1689" w:type="dxa"/>
            <w:tcBorders>
              <w:top w:val="nil"/>
              <w:left w:val="nil"/>
              <w:bottom w:val="single" w:sz="4" w:space="0" w:color="auto"/>
              <w:right w:val="single" w:sz="4" w:space="0" w:color="auto"/>
            </w:tcBorders>
            <w:shd w:val="clear" w:color="FFFFFF" w:fill="FFFFFF"/>
            <w:noWrap/>
            <w:vAlign w:val="bottom"/>
            <w:hideMark/>
          </w:tcPr>
          <w:p w14:paraId="576BB2F8" w14:textId="77777777" w:rsidR="00547D14" w:rsidRPr="00547D14" w:rsidRDefault="00547D14" w:rsidP="00547D14">
            <w:pPr>
              <w:spacing w:after="0" w:line="240" w:lineRule="auto"/>
              <w:ind w:left="720"/>
              <w:contextualSpacing/>
              <w:rPr>
                <w:rFonts w:ascii="Times New Roman" w:eastAsia="Times New Roman" w:hAnsi="Times New Roman" w:cs="Times New Roman"/>
                <w:b/>
                <w:bCs/>
                <w:color w:val="000000"/>
                <w:sz w:val="20"/>
                <w:szCs w:val="20"/>
                <w:lang w:eastAsia="et-EE"/>
              </w:rPr>
            </w:pPr>
            <w:r w:rsidRPr="00547D14">
              <w:rPr>
                <w:rFonts w:ascii="Times New Roman" w:eastAsia="Times New Roman" w:hAnsi="Times New Roman" w:cs="Times New Roman"/>
                <w:b/>
                <w:bCs/>
                <w:color w:val="000000"/>
                <w:sz w:val="20"/>
                <w:szCs w:val="20"/>
                <w:lang w:eastAsia="et-EE"/>
              </w:rPr>
              <w:t xml:space="preserve"> 7 268,78</w:t>
            </w:r>
          </w:p>
        </w:tc>
      </w:tr>
    </w:tbl>
    <w:p w14:paraId="5DD56749" w14:textId="5ABC11C5"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Lähtuvalt antud otsusest loeb rakendusüksus riigihankega nr 283350 seotud kuludest abikõlbmatuks </w:t>
      </w:r>
      <w:r w:rsidRPr="00547D14">
        <w:rPr>
          <w:rFonts w:ascii="Times New Roman" w:eastAsia="Calibri" w:hAnsi="Times New Roman" w:cs="Times New Roman"/>
          <w:b/>
          <w:bCs/>
          <w:sz w:val="24"/>
          <w:szCs w:val="24"/>
        </w:rPr>
        <w:t>7 268,78 eurot</w:t>
      </w:r>
      <w:r w:rsidRPr="00547D14">
        <w:rPr>
          <w:rFonts w:ascii="Times New Roman" w:eastAsia="Calibri" w:hAnsi="Times New Roman" w:cs="Times New Roman"/>
          <w:sz w:val="24"/>
          <w:szCs w:val="24"/>
        </w:rPr>
        <w:t xml:space="preserve"> (29 075,10 × 25%), millest toetus moodustab 5 088,1</w:t>
      </w:r>
      <w:r w:rsidR="00E64960">
        <w:rPr>
          <w:rFonts w:ascii="Times New Roman" w:eastAsia="Calibri" w:hAnsi="Times New Roman" w:cs="Times New Roman"/>
          <w:sz w:val="24"/>
          <w:szCs w:val="24"/>
        </w:rPr>
        <w:t>4</w:t>
      </w:r>
      <w:r w:rsidRPr="00547D14">
        <w:rPr>
          <w:rFonts w:ascii="Times New Roman" w:eastAsia="Calibri" w:hAnsi="Times New Roman" w:cs="Times New Roman"/>
          <w:sz w:val="24"/>
          <w:szCs w:val="24"/>
        </w:rPr>
        <w:t xml:space="preserve"> eurot ja omafinantseering 2 180,6</w:t>
      </w:r>
      <w:r w:rsidR="00E64960">
        <w:rPr>
          <w:rFonts w:ascii="Times New Roman" w:eastAsia="Calibri" w:hAnsi="Times New Roman" w:cs="Times New Roman"/>
          <w:sz w:val="24"/>
          <w:szCs w:val="24"/>
        </w:rPr>
        <w:t>4</w:t>
      </w:r>
      <w:r w:rsidRPr="00547D14">
        <w:rPr>
          <w:rFonts w:ascii="Times New Roman" w:eastAsia="Calibri" w:hAnsi="Times New Roman" w:cs="Times New Roman"/>
          <w:sz w:val="24"/>
          <w:szCs w:val="24"/>
        </w:rPr>
        <w:t xml:space="preserve"> eurot.</w:t>
      </w:r>
    </w:p>
    <w:p w14:paraId="5EE854C0" w14:textId="77777777" w:rsidR="00547D14" w:rsidRPr="00547D14" w:rsidRDefault="00547D14" w:rsidP="00547D14">
      <w:pPr>
        <w:numPr>
          <w:ilvl w:val="0"/>
          <w:numId w:val="7"/>
        </w:num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ÜM2022 § 37 lõike 3 kohaselt vähendatakse finantskorrektsiooni otsuse tegemisel toetuse ning omafinantseeringu eelarvet vastavalt makse tegemise ajal kehtivale toetuse proportsioonile.</w:t>
      </w:r>
    </w:p>
    <w:p w14:paraId="294A85E9" w14:textId="77777777" w:rsidR="00F241A7" w:rsidRDefault="00F241A7" w:rsidP="00547D14">
      <w:pPr>
        <w:spacing w:before="240" w:after="240" w:line="240" w:lineRule="auto"/>
        <w:contextualSpacing/>
        <w:jc w:val="both"/>
        <w:rPr>
          <w:rFonts w:ascii="Times New Roman" w:eastAsia="Calibri" w:hAnsi="Times New Roman" w:cs="Times New Roman"/>
          <w:b/>
          <w:bCs/>
          <w:sz w:val="24"/>
          <w:szCs w:val="24"/>
        </w:rPr>
      </w:pPr>
      <w:bookmarkStart w:id="9" w:name="ärakuulamine"/>
    </w:p>
    <w:p w14:paraId="3A70A84F" w14:textId="77777777" w:rsidR="00F241A7" w:rsidRDefault="00F241A7" w:rsidP="00547D14">
      <w:pPr>
        <w:spacing w:before="240" w:after="240" w:line="240" w:lineRule="auto"/>
        <w:contextualSpacing/>
        <w:jc w:val="both"/>
        <w:rPr>
          <w:rFonts w:ascii="Times New Roman" w:eastAsia="Calibri" w:hAnsi="Times New Roman" w:cs="Times New Roman"/>
          <w:b/>
          <w:bCs/>
          <w:sz w:val="24"/>
          <w:szCs w:val="24"/>
        </w:rPr>
      </w:pPr>
    </w:p>
    <w:p w14:paraId="040B93EE" w14:textId="77777777" w:rsidR="00F241A7" w:rsidRDefault="00F241A7" w:rsidP="00547D14">
      <w:pPr>
        <w:spacing w:before="240" w:after="240" w:line="240" w:lineRule="auto"/>
        <w:contextualSpacing/>
        <w:jc w:val="both"/>
        <w:rPr>
          <w:rFonts w:ascii="Times New Roman" w:eastAsia="Calibri" w:hAnsi="Times New Roman" w:cs="Times New Roman"/>
          <w:b/>
          <w:bCs/>
          <w:sz w:val="24"/>
          <w:szCs w:val="24"/>
        </w:rPr>
      </w:pPr>
    </w:p>
    <w:p w14:paraId="0DD50C62" w14:textId="77777777" w:rsidR="00F241A7" w:rsidRDefault="00F241A7" w:rsidP="00547D14">
      <w:pPr>
        <w:spacing w:before="240" w:after="240" w:line="240" w:lineRule="auto"/>
        <w:contextualSpacing/>
        <w:jc w:val="both"/>
        <w:rPr>
          <w:rFonts w:ascii="Times New Roman" w:eastAsia="Calibri" w:hAnsi="Times New Roman" w:cs="Times New Roman"/>
          <w:b/>
          <w:bCs/>
          <w:sz w:val="24"/>
          <w:szCs w:val="24"/>
        </w:rPr>
      </w:pPr>
    </w:p>
    <w:p w14:paraId="120845E9" w14:textId="4B36BBF2" w:rsidR="00547D14" w:rsidRPr="00547D14" w:rsidRDefault="00547D14" w:rsidP="00547D14">
      <w:pPr>
        <w:spacing w:before="240" w:after="240" w:line="240" w:lineRule="auto"/>
        <w:contextualSpacing/>
        <w:jc w:val="both"/>
        <w:rPr>
          <w:rFonts w:ascii="Times New Roman" w:eastAsia="Calibri" w:hAnsi="Times New Roman" w:cs="Times New Roman"/>
          <w:b/>
          <w:bCs/>
          <w:sz w:val="24"/>
          <w:szCs w:val="24"/>
        </w:rPr>
      </w:pPr>
      <w:r w:rsidRPr="00547D14">
        <w:rPr>
          <w:rFonts w:ascii="Times New Roman" w:eastAsia="Calibri" w:hAnsi="Times New Roman" w:cs="Times New Roman"/>
          <w:b/>
          <w:bCs/>
          <w:sz w:val="24"/>
          <w:szCs w:val="24"/>
        </w:rPr>
        <w:lastRenderedPageBreak/>
        <w:t>ÄRAKUULAMINE</w:t>
      </w:r>
    </w:p>
    <w:bookmarkEnd w:id="9"/>
    <w:p w14:paraId="626EAE4B" w14:textId="77777777" w:rsidR="00547D14" w:rsidRPr="00547D14" w:rsidRDefault="00547D14" w:rsidP="00547D14">
      <w:pPr>
        <w:spacing w:before="240" w:after="240" w:line="240" w:lineRule="auto"/>
        <w:contextualSpacing/>
        <w:jc w:val="both"/>
        <w:rPr>
          <w:rFonts w:ascii="Times New Roman" w:eastAsia="Calibri" w:hAnsi="Times New Roman" w:cs="Times New Roman"/>
          <w:b/>
          <w:bCs/>
          <w:sz w:val="24"/>
          <w:szCs w:val="24"/>
        </w:rPr>
      </w:pPr>
    </w:p>
    <w:p w14:paraId="4B216B5B" w14:textId="77777777" w:rsidR="00547D14" w:rsidRPr="00547D14" w:rsidRDefault="00547D14" w:rsidP="00547D14">
      <w:pPr>
        <w:numPr>
          <w:ilvl w:val="0"/>
          <w:numId w:val="7"/>
        </w:numPr>
        <w:spacing w:before="240" w:after="240" w:line="240" w:lineRule="auto"/>
        <w:contextualSpacing/>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 xml:space="preserve">Tulenevalt ÜSS § 13 lg 2 punktist 3 annab rakendusüksus enne finantskorrektsiooni otsuse </w:t>
      </w:r>
    </w:p>
    <w:p w14:paraId="5C20626A" w14:textId="77777777" w:rsidR="00547D14" w:rsidRPr="00547D14" w:rsidRDefault="00547D14" w:rsidP="00547D14">
      <w:pPr>
        <w:spacing w:before="240" w:after="240" w:line="240" w:lineRule="auto"/>
        <w:jc w:val="both"/>
        <w:rPr>
          <w:rFonts w:ascii="Times New Roman" w:eastAsia="Calibri" w:hAnsi="Times New Roman" w:cs="Times New Roman"/>
          <w:sz w:val="24"/>
          <w:szCs w:val="24"/>
        </w:rPr>
      </w:pPr>
      <w:r w:rsidRPr="00547D14">
        <w:rPr>
          <w:rFonts w:ascii="Times New Roman" w:eastAsia="Calibri" w:hAnsi="Times New Roman" w:cs="Times New Roman"/>
          <w:sz w:val="24"/>
          <w:szCs w:val="24"/>
        </w:rPr>
        <w:t>tegemist võimaluse toetuse saajal esitada oma seisukohad. Rakendusüksus edastas 22.04.2026 toetuse saajale finantskorrektsiooni otsuse eelnõu, paludes esitada omapoolne seisukoht antud otsuse kohta hiljemalt 07.05.2026. Tähtajaks toetuse saaja vastuväiteid ei esitanud.</w:t>
      </w:r>
    </w:p>
    <w:p w14:paraId="616C6CF9" w14:textId="77777777" w:rsidR="00547D14" w:rsidRPr="00547D14" w:rsidRDefault="00547D14" w:rsidP="00547D14">
      <w:pPr>
        <w:spacing w:before="240" w:after="240" w:line="240" w:lineRule="auto"/>
        <w:jc w:val="both"/>
        <w:rPr>
          <w:rFonts w:ascii="Times New Roman" w:eastAsia="Calibri" w:hAnsi="Times New Roman" w:cs="Times New Roman"/>
          <w:b/>
          <w:bCs/>
          <w:sz w:val="24"/>
          <w:szCs w:val="24"/>
        </w:rPr>
      </w:pPr>
      <w:bookmarkStart w:id="10" w:name="menetluslik_teave"/>
      <w:r w:rsidRPr="00547D14">
        <w:rPr>
          <w:rFonts w:ascii="Times New Roman" w:eastAsia="Calibri" w:hAnsi="Times New Roman" w:cs="Times New Roman"/>
          <w:b/>
          <w:bCs/>
          <w:sz w:val="24"/>
          <w:szCs w:val="24"/>
        </w:rPr>
        <w:t>VAIDLUSTAMINE</w:t>
      </w:r>
      <w:bookmarkEnd w:id="10"/>
    </w:p>
    <w:p w14:paraId="179D7EF3" w14:textId="77777777" w:rsidR="00547D14" w:rsidRPr="00547D14" w:rsidRDefault="00547D14" w:rsidP="00F241A7">
      <w:pPr>
        <w:numPr>
          <w:ilvl w:val="0"/>
          <w:numId w:val="7"/>
        </w:numPr>
        <w:spacing w:before="240" w:after="0" w:line="240" w:lineRule="auto"/>
        <w:jc w:val="both"/>
        <w:rPr>
          <w:rFonts w:ascii="Times New Roman" w:eastAsia="Calibri" w:hAnsi="Times New Roman" w:cs="Times New Roman"/>
          <w:sz w:val="24"/>
          <w:szCs w:val="24"/>
        </w:rPr>
      </w:pPr>
      <w:bookmarkStart w:id="11" w:name="_Hlk213683142"/>
      <w:r w:rsidRPr="00547D14">
        <w:rPr>
          <w:rFonts w:ascii="Times New Roman" w:eastAsia="Calibri" w:hAnsi="Times New Roman" w:cs="Times New Roman"/>
          <w:sz w:val="24"/>
          <w:szCs w:val="24"/>
        </w:rPr>
        <w:t>Otsuse peale on õigus esitada vaie rakendusüksusele 30 päeva jooksul, arvates päevast, mil isik sai või oleks pidanud otsusest teada saama (ÜSS § 31 lg 1, § 32 lg 3 ja haldusmenetluse seaduse § 75).</w:t>
      </w:r>
    </w:p>
    <w:bookmarkEnd w:id="11"/>
    <w:p w14:paraId="2C642C94" w14:textId="77777777" w:rsidR="00B07FB5" w:rsidRPr="00A162E7" w:rsidRDefault="00B07FB5" w:rsidP="00B07FB5">
      <w:pPr>
        <w:tabs>
          <w:tab w:val="left" w:pos="2715"/>
        </w:tabs>
        <w:spacing w:after="0" w:line="240" w:lineRule="auto"/>
        <w:rPr>
          <w:rFonts w:ascii="Times New Roman" w:hAnsi="Times New Roman"/>
          <w:sz w:val="24"/>
          <w:szCs w:val="24"/>
        </w:rPr>
      </w:pPr>
    </w:p>
    <w:p w14:paraId="1A0EF346" w14:textId="77777777" w:rsidR="00B07FB5" w:rsidRPr="00A162E7" w:rsidRDefault="00B07FB5" w:rsidP="00B07FB5">
      <w:pPr>
        <w:tabs>
          <w:tab w:val="left" w:pos="2715"/>
        </w:tabs>
        <w:spacing w:after="0" w:line="240" w:lineRule="auto"/>
        <w:rPr>
          <w:rFonts w:ascii="Times New Roman" w:hAnsi="Times New Roman"/>
          <w:sz w:val="24"/>
          <w:szCs w:val="24"/>
        </w:rPr>
      </w:pPr>
    </w:p>
    <w:p w14:paraId="4A977F2C" w14:textId="77777777" w:rsidR="00C10301" w:rsidRDefault="00C10301" w:rsidP="00B07FB5">
      <w:pPr>
        <w:spacing w:after="0" w:line="240" w:lineRule="auto"/>
        <w:rPr>
          <w:rFonts w:ascii="Times New Roman" w:hAnsi="Times New Roman"/>
          <w:sz w:val="24"/>
          <w:szCs w:val="24"/>
        </w:rPr>
      </w:pPr>
      <w:r>
        <w:rPr>
          <w:rFonts w:ascii="Times New Roman" w:hAnsi="Times New Roman"/>
          <w:sz w:val="24"/>
          <w:szCs w:val="24"/>
        </w:rPr>
        <w:t>(allkirjastatud digitaalselt</w:t>
      </w:r>
      <w:r w:rsidR="00E67051">
        <w:rPr>
          <w:rFonts w:ascii="Times New Roman" w:hAnsi="Times New Roman"/>
          <w:sz w:val="24"/>
          <w:szCs w:val="24"/>
        </w:rPr>
        <w:t>)</w:t>
      </w:r>
    </w:p>
    <w:p w14:paraId="010E196E" w14:textId="77777777" w:rsidR="001E6909" w:rsidRPr="001E6909" w:rsidRDefault="001E6909" w:rsidP="00B07FB5">
      <w:pPr>
        <w:spacing w:after="0" w:line="240" w:lineRule="auto"/>
        <w:rPr>
          <w:rFonts w:ascii="Times New Roman" w:hAnsi="Times New Roman"/>
          <w:color w:val="000000" w:themeColor="text1"/>
          <w:sz w:val="24"/>
          <w:szCs w:val="24"/>
        </w:rPr>
      </w:pPr>
    </w:p>
    <w:p w14:paraId="14F236CD" w14:textId="0D7EBF04" w:rsidR="00586CE2" w:rsidRDefault="00586CE2" w:rsidP="00B07FB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fldChar w:fldCharType="begin"/>
      </w:r>
      <w:r w:rsidR="006A4575">
        <w:rPr>
          <w:rFonts w:ascii="Times New Roman" w:hAnsi="Times New Roman"/>
          <w:color w:val="000000" w:themeColor="text1"/>
          <w:sz w:val="24"/>
          <w:szCs w:val="24"/>
        </w:rPr>
        <w:instrText xml:space="preserve"> delta_signerName  \* MERGEFORMAT</w:instrText>
      </w:r>
      <w:r>
        <w:rPr>
          <w:rFonts w:ascii="Times New Roman" w:hAnsi="Times New Roman"/>
          <w:color w:val="000000" w:themeColor="text1"/>
          <w:sz w:val="24"/>
          <w:szCs w:val="24"/>
        </w:rPr>
        <w:fldChar w:fldCharType="separate"/>
      </w:r>
      <w:r w:rsidR="006A4575">
        <w:rPr>
          <w:rFonts w:ascii="Times New Roman" w:hAnsi="Times New Roman"/>
          <w:color w:val="000000" w:themeColor="text1"/>
          <w:sz w:val="24"/>
          <w:szCs w:val="24"/>
        </w:rPr>
        <w:t>Tiina Sams</w:t>
      </w:r>
      <w:r>
        <w:rPr>
          <w:rFonts w:ascii="Times New Roman" w:hAnsi="Times New Roman"/>
          <w:color w:val="000000" w:themeColor="text1"/>
          <w:sz w:val="24"/>
          <w:szCs w:val="24"/>
        </w:rPr>
        <w:fldChar w:fldCharType="end"/>
      </w:r>
    </w:p>
    <w:p w14:paraId="2B2D25E6" w14:textId="17A2AECE" w:rsidR="00E67051" w:rsidRPr="00C67089" w:rsidRDefault="00F241A7" w:rsidP="00B07FB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toetuste rakendamise </w:t>
      </w:r>
      <w:r w:rsidR="00E67051">
        <w:rPr>
          <w:rFonts w:ascii="Times New Roman" w:hAnsi="Times New Roman"/>
          <w:color w:val="000000" w:themeColor="text1"/>
          <w:sz w:val="24"/>
          <w:szCs w:val="24"/>
        </w:rPr>
        <w:fldChar w:fldCharType="begin"/>
      </w:r>
      <w:r w:rsidR="006A4575">
        <w:rPr>
          <w:rFonts w:ascii="Times New Roman" w:hAnsi="Times New Roman"/>
          <w:color w:val="000000" w:themeColor="text1"/>
          <w:sz w:val="24"/>
          <w:szCs w:val="24"/>
        </w:rPr>
        <w:instrText xml:space="preserve"> delta_signerJobTitle  \* MERGEFORMAT</w:instrText>
      </w:r>
      <w:r w:rsidR="00E67051">
        <w:rPr>
          <w:rFonts w:ascii="Times New Roman" w:hAnsi="Times New Roman"/>
          <w:color w:val="000000" w:themeColor="text1"/>
          <w:sz w:val="24"/>
          <w:szCs w:val="24"/>
        </w:rPr>
        <w:fldChar w:fldCharType="separate"/>
      </w:r>
      <w:r w:rsidR="006A4575">
        <w:rPr>
          <w:rFonts w:ascii="Times New Roman" w:hAnsi="Times New Roman"/>
          <w:color w:val="000000" w:themeColor="text1"/>
          <w:sz w:val="24"/>
          <w:szCs w:val="24"/>
        </w:rPr>
        <w:t>osakonna juhataja</w:t>
      </w:r>
      <w:r w:rsidR="00E67051">
        <w:rPr>
          <w:rFonts w:ascii="Times New Roman" w:hAnsi="Times New Roman"/>
          <w:color w:val="000000" w:themeColor="text1"/>
          <w:sz w:val="24"/>
          <w:szCs w:val="24"/>
        </w:rPr>
        <w:fldChar w:fldCharType="end"/>
      </w:r>
    </w:p>
    <w:p w14:paraId="7E13BC35" w14:textId="77777777" w:rsidR="00B07FB5" w:rsidRPr="00C67089" w:rsidRDefault="00B07FB5" w:rsidP="00B07FB5">
      <w:pPr>
        <w:spacing w:after="0" w:line="240" w:lineRule="auto"/>
        <w:rPr>
          <w:rFonts w:ascii="Times New Roman" w:hAnsi="Times New Roman"/>
          <w:color w:val="000000" w:themeColor="text1"/>
          <w:sz w:val="24"/>
          <w:szCs w:val="24"/>
        </w:rPr>
      </w:pPr>
    </w:p>
    <w:p w14:paraId="56284908" w14:textId="77777777" w:rsidR="00C67089" w:rsidRDefault="00C67089" w:rsidP="00B07FB5">
      <w:pPr>
        <w:tabs>
          <w:tab w:val="left" w:pos="1701"/>
        </w:tabs>
        <w:spacing w:after="0" w:line="240" w:lineRule="auto"/>
        <w:rPr>
          <w:rFonts w:ascii="Times New Roman" w:hAnsi="Times New Roman"/>
          <w:sz w:val="24"/>
          <w:szCs w:val="24"/>
        </w:rPr>
      </w:pPr>
    </w:p>
    <w:p w14:paraId="62869F3B" w14:textId="77777777" w:rsidR="00C67089" w:rsidRDefault="00C67089" w:rsidP="00B07FB5">
      <w:pPr>
        <w:tabs>
          <w:tab w:val="left" w:pos="1701"/>
        </w:tabs>
        <w:spacing w:after="0" w:line="240" w:lineRule="auto"/>
        <w:rPr>
          <w:rFonts w:ascii="Times New Roman" w:hAnsi="Times New Roman"/>
          <w:sz w:val="24"/>
          <w:szCs w:val="24"/>
        </w:rPr>
      </w:pPr>
    </w:p>
    <w:p w14:paraId="2371280C" w14:textId="77777777" w:rsidR="00547D14" w:rsidRDefault="00547D14" w:rsidP="00547D14">
      <w:pPr>
        <w:spacing w:after="0" w:line="240" w:lineRule="auto"/>
        <w:jc w:val="both"/>
        <w:rPr>
          <w:rFonts w:ascii="Times New Roman" w:eastAsia="Calibri" w:hAnsi="Times New Roman" w:cs="Times New Roman"/>
          <w:b/>
          <w:bCs/>
          <w:sz w:val="24"/>
          <w:szCs w:val="24"/>
        </w:rPr>
      </w:pPr>
    </w:p>
    <w:p w14:paraId="28193465" w14:textId="77777777" w:rsidR="00F241A7" w:rsidRDefault="00F241A7" w:rsidP="00547D14">
      <w:pPr>
        <w:spacing w:after="0" w:line="240" w:lineRule="auto"/>
        <w:jc w:val="both"/>
        <w:rPr>
          <w:rFonts w:ascii="Times New Roman" w:eastAsia="Calibri" w:hAnsi="Times New Roman" w:cs="Times New Roman"/>
          <w:b/>
          <w:bCs/>
          <w:sz w:val="24"/>
          <w:szCs w:val="24"/>
        </w:rPr>
      </w:pPr>
    </w:p>
    <w:p w14:paraId="4F351130" w14:textId="77777777" w:rsidR="00547D14" w:rsidRDefault="00547D14" w:rsidP="00547D14">
      <w:pPr>
        <w:spacing w:after="0" w:line="240" w:lineRule="auto"/>
        <w:jc w:val="both"/>
        <w:rPr>
          <w:rFonts w:ascii="Times New Roman" w:eastAsia="Calibri" w:hAnsi="Times New Roman" w:cs="Times New Roman"/>
          <w:b/>
          <w:bCs/>
          <w:sz w:val="24"/>
          <w:szCs w:val="24"/>
        </w:rPr>
      </w:pPr>
    </w:p>
    <w:p w14:paraId="22F7B5C9" w14:textId="33367CC1" w:rsidR="00547D14" w:rsidRPr="00F241A7" w:rsidRDefault="00F241A7" w:rsidP="00547D14">
      <w:pPr>
        <w:spacing w:after="0" w:line="240" w:lineRule="auto"/>
        <w:jc w:val="both"/>
        <w:rPr>
          <w:rFonts w:ascii="Times New Roman" w:eastAsia="Calibri" w:hAnsi="Times New Roman" w:cs="Times New Roman"/>
          <w:sz w:val="24"/>
          <w:szCs w:val="24"/>
        </w:rPr>
      </w:pPr>
      <w:r w:rsidRPr="00F241A7">
        <w:rPr>
          <w:rFonts w:ascii="Times New Roman" w:eastAsia="Calibri" w:hAnsi="Times New Roman" w:cs="Times New Roman"/>
          <w:sz w:val="24"/>
          <w:szCs w:val="24"/>
        </w:rPr>
        <w:t>Lisad:</w:t>
      </w:r>
      <w:r w:rsidR="00547D14" w:rsidRPr="00F241A7">
        <w:rPr>
          <w:rFonts w:ascii="Times New Roman" w:eastAsia="Calibri" w:hAnsi="Times New Roman" w:cs="Times New Roman"/>
          <w:sz w:val="24"/>
          <w:szCs w:val="24"/>
        </w:rPr>
        <w:t xml:space="preserve"> </w:t>
      </w:r>
    </w:p>
    <w:p w14:paraId="1405AED9" w14:textId="77777777" w:rsidR="00547D14" w:rsidRDefault="00547D14" w:rsidP="00547D14">
      <w:pPr>
        <w:pStyle w:val="ListParagraph"/>
        <w:numPr>
          <w:ilvl w:val="0"/>
          <w:numId w:val="36"/>
        </w:numPr>
        <w:spacing w:after="0" w:line="240" w:lineRule="auto"/>
        <w:jc w:val="both"/>
        <w:rPr>
          <w:rFonts w:ascii="Times New Roman" w:eastAsia="Calibri" w:hAnsi="Times New Roman" w:cs="Times New Roman"/>
          <w:sz w:val="24"/>
          <w:szCs w:val="24"/>
        </w:rPr>
      </w:pPr>
      <w:r w:rsidRPr="00104585">
        <w:rPr>
          <w:rFonts w:ascii="Times New Roman" w:eastAsia="Calibri" w:hAnsi="Times New Roman" w:cs="Times New Roman"/>
          <w:sz w:val="24"/>
          <w:szCs w:val="24"/>
        </w:rPr>
        <w:t>Lisa 1 Hankelepingute võrdlus 18.09.2024 vs 27.09.2024</w:t>
      </w:r>
    </w:p>
    <w:p w14:paraId="3911719B" w14:textId="77777777" w:rsidR="00547D14" w:rsidRDefault="00547D14" w:rsidP="00547D14">
      <w:pPr>
        <w:pStyle w:val="ListParagraph"/>
        <w:numPr>
          <w:ilvl w:val="0"/>
          <w:numId w:val="36"/>
        </w:numPr>
        <w:spacing w:after="0" w:line="240" w:lineRule="auto"/>
        <w:jc w:val="both"/>
        <w:rPr>
          <w:rFonts w:ascii="Times New Roman" w:eastAsia="Calibri" w:hAnsi="Times New Roman" w:cs="Times New Roman"/>
          <w:sz w:val="24"/>
          <w:szCs w:val="24"/>
        </w:rPr>
      </w:pPr>
      <w:r w:rsidRPr="00952200">
        <w:rPr>
          <w:rFonts w:ascii="Times New Roman" w:eastAsia="Calibri" w:hAnsi="Times New Roman" w:cs="Times New Roman"/>
          <w:sz w:val="24"/>
          <w:szCs w:val="24"/>
        </w:rPr>
        <w:t>Lisa 2 Hankelepingute võrdlus 27.09.2024 vs 18.10.2024</w:t>
      </w:r>
    </w:p>
    <w:p w14:paraId="619786C7" w14:textId="77777777" w:rsidR="00D072A1" w:rsidRDefault="00D072A1" w:rsidP="00C54C47">
      <w:pPr>
        <w:spacing w:after="0"/>
        <w:rPr>
          <w:rFonts w:ascii="Times New Roman" w:hAnsi="Times New Roman"/>
          <w:color w:val="000000" w:themeColor="text1"/>
          <w:sz w:val="24"/>
          <w:szCs w:val="24"/>
        </w:rPr>
      </w:pPr>
    </w:p>
    <w:p w14:paraId="0D1A7329" w14:textId="77777777" w:rsidR="007355A0" w:rsidRDefault="007355A0" w:rsidP="00C54C47">
      <w:pPr>
        <w:spacing w:after="0"/>
        <w:rPr>
          <w:rFonts w:ascii="Times New Roman" w:hAnsi="Times New Roman"/>
          <w:color w:val="000000" w:themeColor="text1"/>
          <w:sz w:val="24"/>
          <w:szCs w:val="24"/>
        </w:rPr>
      </w:pPr>
    </w:p>
    <w:p w14:paraId="5DB231FD" w14:textId="77777777" w:rsidR="00285AE9" w:rsidRDefault="00285AE9" w:rsidP="00C54C47">
      <w:pPr>
        <w:spacing w:after="0"/>
        <w:rPr>
          <w:rFonts w:ascii="Times New Roman" w:hAnsi="Times New Roman"/>
          <w:color w:val="000000" w:themeColor="text1"/>
          <w:sz w:val="24"/>
          <w:szCs w:val="24"/>
        </w:rPr>
      </w:pPr>
    </w:p>
    <w:p w14:paraId="18348FB4" w14:textId="77777777" w:rsidR="00586CE2" w:rsidRDefault="00586CE2" w:rsidP="00C54C47">
      <w:pPr>
        <w:spacing w:after="0"/>
        <w:rPr>
          <w:rFonts w:ascii="Times New Roman" w:hAnsi="Times New Roman"/>
          <w:color w:val="000000" w:themeColor="text1"/>
          <w:sz w:val="24"/>
          <w:szCs w:val="24"/>
        </w:rPr>
      </w:pPr>
    </w:p>
    <w:p w14:paraId="3379A93C" w14:textId="77777777" w:rsidR="00586CE2" w:rsidRDefault="00586CE2" w:rsidP="00C54C47">
      <w:pPr>
        <w:spacing w:after="0"/>
        <w:rPr>
          <w:rFonts w:ascii="Times New Roman" w:hAnsi="Times New Roman"/>
          <w:color w:val="000000" w:themeColor="text1"/>
          <w:sz w:val="24"/>
          <w:szCs w:val="24"/>
        </w:rPr>
      </w:pPr>
    </w:p>
    <w:p w14:paraId="5D5E2927" w14:textId="77777777" w:rsidR="00586CE2" w:rsidRDefault="00586CE2" w:rsidP="00C54C47">
      <w:pPr>
        <w:spacing w:after="0"/>
        <w:rPr>
          <w:rFonts w:ascii="Times New Roman" w:hAnsi="Times New Roman"/>
          <w:color w:val="000000" w:themeColor="text1"/>
          <w:sz w:val="24"/>
          <w:szCs w:val="24"/>
        </w:rPr>
      </w:pPr>
    </w:p>
    <w:p w14:paraId="24AFF449" w14:textId="77777777" w:rsidR="00285AE9" w:rsidRDefault="00285AE9" w:rsidP="00C54C47">
      <w:pPr>
        <w:spacing w:after="0"/>
        <w:rPr>
          <w:rFonts w:ascii="Times New Roman" w:hAnsi="Times New Roman"/>
          <w:color w:val="000000" w:themeColor="text1"/>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8356"/>
      </w:tblGrid>
      <w:tr w:rsidR="001E6909" w14:paraId="1637BF68" w14:textId="77777777" w:rsidTr="001E6909">
        <w:tc>
          <w:tcPr>
            <w:tcW w:w="1135" w:type="dxa"/>
          </w:tcPr>
          <w:p w14:paraId="0D3B4E12" w14:textId="77777777" w:rsidR="001E6909" w:rsidRDefault="001E6909" w:rsidP="00C54C47">
            <w:pPr>
              <w:rPr>
                <w:rFonts w:ascii="Times New Roman" w:hAnsi="Times New Roman"/>
                <w:color w:val="000000" w:themeColor="text1"/>
                <w:sz w:val="24"/>
                <w:szCs w:val="24"/>
              </w:rPr>
            </w:pPr>
            <w:r>
              <w:rPr>
                <w:rFonts w:ascii="Times New Roman" w:hAnsi="Times New Roman"/>
                <w:color w:val="000000" w:themeColor="text1"/>
                <w:sz w:val="24"/>
                <w:szCs w:val="24"/>
              </w:rPr>
              <w:t>Koostaja:</w:t>
            </w:r>
          </w:p>
        </w:tc>
        <w:tc>
          <w:tcPr>
            <w:tcW w:w="8356" w:type="dxa"/>
          </w:tcPr>
          <w:p w14:paraId="372EB738" w14:textId="6D8CEDF0" w:rsidR="001E6909" w:rsidRDefault="001E6909" w:rsidP="00C54C47">
            <w:pPr>
              <w:rPr>
                <w:rFonts w:ascii="Times New Roman" w:hAnsi="Times New Roman"/>
                <w:color w:val="000000" w:themeColor="text1"/>
                <w:sz w:val="24"/>
                <w:szCs w:val="24"/>
              </w:rPr>
            </w:pPr>
            <w:r>
              <w:rPr>
                <w:rFonts w:ascii="Times New Roman" w:hAnsi="Times New Roman" w:cs="Times New Roman"/>
                <w:sz w:val="24"/>
                <w:szCs w:val="24"/>
              </w:rPr>
              <w:fldChar w:fldCharType="begin"/>
            </w:r>
            <w:r w:rsidR="006A4575">
              <w:rPr>
                <w:rFonts w:ascii="Times New Roman" w:hAnsi="Times New Roman" w:cs="Times New Roman"/>
                <w:sz w:val="24"/>
                <w:szCs w:val="24"/>
              </w:rPr>
              <w:instrText xml:space="preserve"> delta_ownerName  \* MERGEFORMAT</w:instrText>
            </w:r>
            <w:r>
              <w:rPr>
                <w:rFonts w:ascii="Times New Roman" w:hAnsi="Times New Roman" w:cs="Times New Roman"/>
                <w:sz w:val="24"/>
                <w:szCs w:val="24"/>
              </w:rPr>
              <w:fldChar w:fldCharType="separate"/>
            </w:r>
            <w:r w:rsidR="006A4575">
              <w:rPr>
                <w:rFonts w:ascii="Times New Roman" w:hAnsi="Times New Roman" w:cs="Times New Roman"/>
                <w:sz w:val="24"/>
                <w:szCs w:val="24"/>
              </w:rPr>
              <w:t>Kairi Puur</w:t>
            </w:r>
            <w:r>
              <w:rPr>
                <w:rFonts w:ascii="Times New Roman" w:hAnsi="Times New Roman" w:cs="Times New Roman"/>
                <w:sz w:val="24"/>
                <w:szCs w:val="24"/>
              </w:rPr>
              <w:fldChar w:fldCharType="end"/>
            </w:r>
          </w:p>
        </w:tc>
      </w:tr>
      <w:tr w:rsidR="001E6909" w14:paraId="356B9259" w14:textId="77777777" w:rsidTr="001E6909">
        <w:tc>
          <w:tcPr>
            <w:tcW w:w="1135" w:type="dxa"/>
          </w:tcPr>
          <w:p w14:paraId="73B6A702" w14:textId="77777777" w:rsidR="001E6909" w:rsidRDefault="001E6909" w:rsidP="00C54C47">
            <w:pPr>
              <w:rPr>
                <w:rFonts w:ascii="Times New Roman" w:hAnsi="Times New Roman"/>
                <w:color w:val="000000" w:themeColor="text1"/>
                <w:sz w:val="24"/>
                <w:szCs w:val="24"/>
              </w:rPr>
            </w:pPr>
          </w:p>
        </w:tc>
        <w:tc>
          <w:tcPr>
            <w:tcW w:w="8356" w:type="dxa"/>
          </w:tcPr>
          <w:p w14:paraId="4131FAB4" w14:textId="205CF307" w:rsidR="001E6909" w:rsidRDefault="001E6909" w:rsidP="001E6909">
            <w:pPr>
              <w:rPr>
                <w:rFonts w:ascii="Times New Roman" w:hAnsi="Times New Roman"/>
                <w:color w:val="000000" w:themeColor="text1"/>
                <w:sz w:val="24"/>
                <w:szCs w:val="24"/>
              </w:rPr>
            </w:pPr>
            <w:r>
              <w:rPr>
                <w:rFonts w:ascii="Times New Roman" w:hAnsi="Times New Roman" w:cs="Times New Roman"/>
                <w:sz w:val="24"/>
                <w:szCs w:val="24"/>
              </w:rPr>
              <w:fldChar w:fldCharType="begin"/>
            </w:r>
            <w:r w:rsidR="006A4575">
              <w:rPr>
                <w:rFonts w:ascii="Times New Roman" w:hAnsi="Times New Roman" w:cs="Times New Roman"/>
                <w:sz w:val="24"/>
                <w:szCs w:val="24"/>
              </w:rPr>
              <w:instrText xml:space="preserve"> delta_ownerPhone  \* MERGEFORMAT</w:instrText>
            </w:r>
            <w:r>
              <w:rPr>
                <w:rFonts w:ascii="Times New Roman" w:hAnsi="Times New Roman" w:cs="Times New Roman"/>
                <w:sz w:val="24"/>
                <w:szCs w:val="24"/>
              </w:rPr>
              <w:fldChar w:fldCharType="separate"/>
            </w:r>
            <w:r w:rsidR="006A4575">
              <w:rPr>
                <w:rFonts w:ascii="Times New Roman" w:hAnsi="Times New Roman" w:cs="Times New Roman"/>
                <w:sz w:val="24"/>
                <w:szCs w:val="24"/>
              </w:rPr>
              <w:t>506 6131</w:t>
            </w:r>
            <w:r>
              <w:rPr>
                <w:rFonts w:ascii="Times New Roman" w:hAnsi="Times New Roman" w:cs="Times New Roman"/>
                <w:sz w:val="24"/>
                <w:szCs w:val="24"/>
              </w:rPr>
              <w:fldChar w:fldCharType="end"/>
            </w:r>
          </w:p>
        </w:tc>
      </w:tr>
      <w:tr w:rsidR="001E6909" w14:paraId="2EDF9ABB" w14:textId="77777777" w:rsidTr="001E6909">
        <w:tc>
          <w:tcPr>
            <w:tcW w:w="1135" w:type="dxa"/>
          </w:tcPr>
          <w:p w14:paraId="7ADA3AB1" w14:textId="77777777" w:rsidR="001E6909" w:rsidRDefault="001E6909" w:rsidP="00C54C47">
            <w:pPr>
              <w:rPr>
                <w:rFonts w:ascii="Times New Roman" w:hAnsi="Times New Roman"/>
                <w:color w:val="000000" w:themeColor="text1"/>
                <w:sz w:val="24"/>
                <w:szCs w:val="24"/>
              </w:rPr>
            </w:pPr>
          </w:p>
        </w:tc>
        <w:tc>
          <w:tcPr>
            <w:tcW w:w="8356" w:type="dxa"/>
          </w:tcPr>
          <w:p w14:paraId="210A9AC1" w14:textId="52385698" w:rsidR="001E6909" w:rsidRDefault="001E6909" w:rsidP="001E6909">
            <w:pPr>
              <w:rPr>
                <w:rFonts w:ascii="Times New Roman" w:hAnsi="Times New Roman"/>
                <w:color w:val="000000" w:themeColor="text1"/>
                <w:sz w:val="24"/>
                <w:szCs w:val="24"/>
              </w:rPr>
            </w:pPr>
            <w:r>
              <w:rPr>
                <w:rFonts w:ascii="Times New Roman" w:hAnsi="Times New Roman" w:cs="Times New Roman"/>
                <w:sz w:val="24"/>
                <w:szCs w:val="24"/>
              </w:rPr>
              <w:fldChar w:fldCharType="begin"/>
            </w:r>
            <w:r w:rsidR="006A4575">
              <w:rPr>
                <w:rFonts w:ascii="Times New Roman" w:hAnsi="Times New Roman" w:cs="Times New Roman"/>
                <w:sz w:val="24"/>
                <w:szCs w:val="24"/>
              </w:rPr>
              <w:instrText xml:space="preserve"> delta_ownerEmail  \* MERGEFORMAT</w:instrText>
            </w:r>
            <w:r>
              <w:rPr>
                <w:rFonts w:ascii="Times New Roman" w:hAnsi="Times New Roman" w:cs="Times New Roman"/>
                <w:sz w:val="24"/>
                <w:szCs w:val="24"/>
              </w:rPr>
              <w:fldChar w:fldCharType="separate"/>
            </w:r>
            <w:r w:rsidR="006A4575">
              <w:rPr>
                <w:rFonts w:ascii="Times New Roman" w:hAnsi="Times New Roman" w:cs="Times New Roman"/>
                <w:sz w:val="24"/>
                <w:szCs w:val="24"/>
              </w:rPr>
              <w:t>Kairi.Puur@rtk.ee</w:t>
            </w:r>
            <w:r>
              <w:rPr>
                <w:rFonts w:ascii="Times New Roman" w:hAnsi="Times New Roman" w:cs="Times New Roman"/>
                <w:sz w:val="24"/>
                <w:szCs w:val="24"/>
              </w:rPr>
              <w:fldChar w:fldCharType="end"/>
            </w:r>
          </w:p>
        </w:tc>
      </w:tr>
    </w:tbl>
    <w:p w14:paraId="533FCFC0" w14:textId="77777777" w:rsidR="001E6909" w:rsidRPr="00B07FB5" w:rsidRDefault="001E6909" w:rsidP="00586CE2">
      <w:pPr>
        <w:spacing w:after="0"/>
        <w:rPr>
          <w:rFonts w:ascii="Times New Roman" w:hAnsi="Times New Roman" w:cs="Times New Roman"/>
          <w:sz w:val="24"/>
          <w:szCs w:val="24"/>
        </w:rPr>
      </w:pPr>
    </w:p>
    <w:sectPr w:rsidR="001E6909" w:rsidRPr="00B07FB5" w:rsidSect="007C15B0">
      <w:pgSz w:w="11906" w:h="16838"/>
      <w:pgMar w:top="851" w:right="851" w:bottom="851" w:left="1701" w:header="709" w:footer="5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6857A" w14:textId="77777777" w:rsidR="00D75989" w:rsidRDefault="00D75989" w:rsidP="00B07FB5">
      <w:pPr>
        <w:spacing w:after="0" w:line="240" w:lineRule="auto"/>
      </w:pPr>
      <w:r>
        <w:separator/>
      </w:r>
    </w:p>
  </w:endnote>
  <w:endnote w:type="continuationSeparator" w:id="0">
    <w:p w14:paraId="795B4DC5" w14:textId="77777777" w:rsidR="00D75989" w:rsidRDefault="00D75989" w:rsidP="00B07FB5">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E8462" w14:textId="77777777" w:rsidR="00D75989" w:rsidRDefault="00D75989" w:rsidP="00B07FB5">
      <w:pPr>
        <w:spacing w:after="0" w:line="240" w:lineRule="auto"/>
      </w:pPr>
      <w:r>
        <w:separator/>
      </w:r>
    </w:p>
  </w:footnote>
  <w:footnote w:type="continuationSeparator" w:id="0">
    <w:p w14:paraId="702D2069" w14:textId="77777777" w:rsidR="00D75989" w:rsidRDefault="00D75989" w:rsidP="00B07FB5">
      <w:pPr>
        <w:spacing w:after="0" w:line="240" w:lineRule="auto"/>
      </w:pPr>
      <w:r>
        <w:continuationSeparator/>
      </w:r>
    </w:p>
  </w:footnote>
  <w:footnote w:id="1">
    <w:p w14:paraId="101BF8BC" w14:textId="2706B3C1" w:rsidR="00547D14" w:rsidRDefault="00547D14" w:rsidP="00547D14">
      <w:pPr>
        <w:pStyle w:val="FootnoteText"/>
        <w:jc w:val="both"/>
        <w:rPr>
          <w:rFonts w:ascii="Times New Roman" w:eastAsia="Calibri" w:hAnsi="Times New Roman" w:cs="Times New Roman"/>
        </w:rPr>
      </w:pPr>
      <w:r w:rsidRPr="005F7C2B">
        <w:rPr>
          <w:rStyle w:val="FootnoteReference"/>
          <w:rFonts w:ascii="Times New Roman" w:hAnsi="Times New Roman" w:cs="Times New Roman"/>
        </w:rPr>
        <w:footnoteRef/>
      </w:r>
      <w:r w:rsidRPr="005F7C2B">
        <w:rPr>
          <w:rFonts w:ascii="Times New Roman" w:hAnsi="Times New Roman" w:cs="Times New Roman"/>
        </w:rPr>
        <w:t xml:space="preserve"> </w:t>
      </w:r>
      <w:r w:rsidRPr="005F7C2B">
        <w:rPr>
          <w:rFonts w:ascii="Times New Roman" w:eastAsia="Calibri" w:hAnsi="Times New Roman" w:cs="Times New Roman"/>
        </w:rPr>
        <w:t>SEB Pank EE891010220034796011</w:t>
      </w:r>
      <w:r w:rsidR="000F492D">
        <w:rPr>
          <w:rFonts w:ascii="Times New Roman" w:eastAsia="Calibri" w:hAnsi="Times New Roman" w:cs="Times New Roman"/>
        </w:rPr>
        <w:t>,</w:t>
      </w:r>
      <w:r w:rsidRPr="005F7C2B">
        <w:rPr>
          <w:rFonts w:ascii="Times New Roman" w:eastAsia="Calibri" w:hAnsi="Times New Roman" w:cs="Times New Roman"/>
        </w:rPr>
        <w:t xml:space="preserve"> </w:t>
      </w:r>
    </w:p>
    <w:p w14:paraId="1C221094" w14:textId="10829512" w:rsidR="00547D14" w:rsidRDefault="00547D14" w:rsidP="00547D14">
      <w:pPr>
        <w:pStyle w:val="FootnoteText"/>
        <w:jc w:val="both"/>
        <w:rPr>
          <w:rFonts w:ascii="Times New Roman" w:eastAsia="Calibri" w:hAnsi="Times New Roman" w:cs="Times New Roman"/>
        </w:rPr>
      </w:pPr>
      <w:r w:rsidRPr="005F7C2B">
        <w:rPr>
          <w:rFonts w:ascii="Times New Roman" w:eastAsia="Calibri" w:hAnsi="Times New Roman" w:cs="Times New Roman"/>
        </w:rPr>
        <w:t>Swedbank EE932200221023778606</w:t>
      </w:r>
      <w:r w:rsidR="000F492D">
        <w:rPr>
          <w:rFonts w:ascii="Times New Roman" w:eastAsia="Calibri" w:hAnsi="Times New Roman" w:cs="Times New Roman"/>
        </w:rPr>
        <w:t>,</w:t>
      </w:r>
      <w:r w:rsidRPr="005F7C2B">
        <w:rPr>
          <w:rFonts w:ascii="Times New Roman" w:eastAsia="Calibri" w:hAnsi="Times New Roman" w:cs="Times New Roman"/>
        </w:rPr>
        <w:t xml:space="preserve"> </w:t>
      </w:r>
    </w:p>
    <w:p w14:paraId="61E2ADCB" w14:textId="6583B7EE" w:rsidR="00547D14" w:rsidRDefault="00547D14" w:rsidP="00547D14">
      <w:pPr>
        <w:pStyle w:val="FootnoteText"/>
        <w:jc w:val="both"/>
        <w:rPr>
          <w:rFonts w:ascii="Times New Roman" w:eastAsia="Calibri" w:hAnsi="Times New Roman" w:cs="Times New Roman"/>
        </w:rPr>
      </w:pPr>
      <w:r w:rsidRPr="005F7C2B">
        <w:rPr>
          <w:rFonts w:ascii="Times New Roman" w:eastAsia="Calibri" w:hAnsi="Times New Roman" w:cs="Times New Roman"/>
        </w:rPr>
        <w:t>Luminor Bank EE701700017001577198</w:t>
      </w:r>
      <w:r w:rsidR="000F492D">
        <w:rPr>
          <w:rFonts w:ascii="Times New Roman" w:eastAsia="Calibri" w:hAnsi="Times New Roman" w:cs="Times New Roman"/>
        </w:rPr>
        <w:t>,</w:t>
      </w:r>
    </w:p>
    <w:p w14:paraId="50322F25" w14:textId="3EA96AC1" w:rsidR="00547D14" w:rsidRDefault="00547D14" w:rsidP="00547D14">
      <w:pPr>
        <w:pStyle w:val="FootnoteText"/>
        <w:jc w:val="both"/>
        <w:rPr>
          <w:rFonts w:ascii="Times New Roman" w:eastAsia="Calibri" w:hAnsi="Times New Roman" w:cs="Times New Roman"/>
        </w:rPr>
      </w:pPr>
      <w:r w:rsidRPr="005F7C2B">
        <w:rPr>
          <w:rFonts w:ascii="Times New Roman" w:eastAsia="Calibri" w:hAnsi="Times New Roman" w:cs="Times New Roman"/>
        </w:rPr>
        <w:t>LHV Pank EE777700771003813400</w:t>
      </w:r>
      <w:r>
        <w:rPr>
          <w:rFonts w:ascii="Times New Roman" w:eastAsia="Calibri" w:hAnsi="Times New Roman" w:cs="Times New Roman"/>
        </w:rPr>
        <w:t xml:space="preserve">. </w:t>
      </w:r>
    </w:p>
    <w:p w14:paraId="30477596" w14:textId="77777777" w:rsidR="00547D14" w:rsidRPr="005F7C2B" w:rsidRDefault="00547D14" w:rsidP="00547D14">
      <w:pPr>
        <w:pStyle w:val="FootnoteText"/>
        <w:jc w:val="both"/>
        <w:rPr>
          <w:rFonts w:ascii="Times New Roman" w:hAnsi="Times New Roman" w:cs="Times New Roman"/>
        </w:rPr>
      </w:pPr>
      <w:r w:rsidRPr="00ED2C11">
        <w:rPr>
          <w:rFonts w:ascii="Times New Roman" w:hAnsi="Times New Roman" w:cs="Times New Roman"/>
          <w:b/>
          <w:bCs/>
        </w:rPr>
        <w:t>V</w:t>
      </w:r>
      <w:r w:rsidRPr="00ED2C11">
        <w:rPr>
          <w:rFonts w:ascii="Times New Roman" w:eastAsia="Calibri" w:hAnsi="Times New Roman" w:cs="Times New Roman"/>
          <w:b/>
          <w:bCs/>
        </w:rPr>
        <w:t>iitenumber 2800082996</w:t>
      </w:r>
      <w:r>
        <w:rPr>
          <w:rFonts w:ascii="Times New Roman" w:eastAsia="Calibri" w:hAnsi="Times New Roman" w:cs="Times New Roman"/>
        </w:rPr>
        <w:t>. S</w:t>
      </w:r>
      <w:r w:rsidRPr="005F7C2B">
        <w:rPr>
          <w:rFonts w:ascii="Times New Roman" w:eastAsia="Calibri" w:hAnsi="Times New Roman" w:cs="Times New Roman"/>
        </w:rPr>
        <w:t>elgituse</w:t>
      </w:r>
      <w:r>
        <w:rPr>
          <w:rFonts w:ascii="Times New Roman" w:eastAsia="Calibri" w:hAnsi="Times New Roman" w:cs="Times New Roman"/>
        </w:rPr>
        <w:t xml:space="preserve">ks märkida </w:t>
      </w:r>
      <w:r w:rsidRPr="005F7C2B">
        <w:rPr>
          <w:rFonts w:ascii="Times New Roman" w:eastAsia="Calibri" w:hAnsi="Times New Roman" w:cs="Times New Roman"/>
        </w:rPr>
        <w:t>projekti n</w:t>
      </w:r>
      <w:r>
        <w:rPr>
          <w:rFonts w:ascii="Times New Roman" w:eastAsia="Calibri" w:hAnsi="Times New Roman" w:cs="Times New Roman"/>
        </w:rPr>
        <w:t>umber.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415F"/>
    <w:multiLevelType w:val="hybridMultilevel"/>
    <w:tmpl w:val="24A2A498"/>
    <w:lvl w:ilvl="0" w:tplc="BDC4B7CA">
      <w:start w:val="1"/>
      <w:numFmt w:val="decimal"/>
      <w:lvlText w:val="%1."/>
      <w:lvlJc w:val="left"/>
      <w:pPr>
        <w:ind w:left="360" w:hanging="360"/>
      </w:pPr>
      <w:rPr>
        <w:rFonts w:hint="default"/>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D53716"/>
    <w:multiLevelType w:val="hybridMultilevel"/>
    <w:tmpl w:val="B6602318"/>
    <w:lvl w:ilvl="0" w:tplc="FBDA5F40">
      <w:start w:val="5"/>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77547E5"/>
    <w:multiLevelType w:val="hybridMultilevel"/>
    <w:tmpl w:val="0E6830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ED3264"/>
    <w:multiLevelType w:val="hybridMultilevel"/>
    <w:tmpl w:val="34AAB3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716E0E"/>
    <w:multiLevelType w:val="hybridMultilevel"/>
    <w:tmpl w:val="3F9C9B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F9102A"/>
    <w:multiLevelType w:val="hybridMultilevel"/>
    <w:tmpl w:val="D0E8F766"/>
    <w:lvl w:ilvl="0" w:tplc="0425000F">
      <w:start w:val="10"/>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1FD90D34"/>
    <w:multiLevelType w:val="hybridMultilevel"/>
    <w:tmpl w:val="5108EED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228E47BA"/>
    <w:multiLevelType w:val="multilevel"/>
    <w:tmpl w:val="D84A1D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F375B1"/>
    <w:multiLevelType w:val="multilevel"/>
    <w:tmpl w:val="A6C8BC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C399F"/>
    <w:multiLevelType w:val="hybridMultilevel"/>
    <w:tmpl w:val="AA30A76A"/>
    <w:lvl w:ilvl="0" w:tplc="36A00AC0">
      <w:start w:val="1"/>
      <w:numFmt w:val="bullet"/>
      <w:lvlText w:val=""/>
      <w:lvlJc w:val="left"/>
      <w:pPr>
        <w:ind w:left="720" w:hanging="360"/>
      </w:pPr>
      <w:rPr>
        <w:rFonts w:ascii="Symbol" w:hAnsi="Symbol"/>
      </w:rPr>
    </w:lvl>
    <w:lvl w:ilvl="1" w:tplc="D92ADC0E">
      <w:start w:val="1"/>
      <w:numFmt w:val="bullet"/>
      <w:lvlText w:val=""/>
      <w:lvlJc w:val="left"/>
      <w:pPr>
        <w:ind w:left="720" w:hanging="360"/>
      </w:pPr>
      <w:rPr>
        <w:rFonts w:ascii="Symbol" w:hAnsi="Symbol"/>
      </w:rPr>
    </w:lvl>
    <w:lvl w:ilvl="2" w:tplc="9912CDAC">
      <w:start w:val="1"/>
      <w:numFmt w:val="bullet"/>
      <w:lvlText w:val=""/>
      <w:lvlJc w:val="left"/>
      <w:pPr>
        <w:ind w:left="720" w:hanging="360"/>
      </w:pPr>
      <w:rPr>
        <w:rFonts w:ascii="Symbol" w:hAnsi="Symbol"/>
      </w:rPr>
    </w:lvl>
    <w:lvl w:ilvl="3" w:tplc="EABA81AA">
      <w:start w:val="1"/>
      <w:numFmt w:val="bullet"/>
      <w:lvlText w:val=""/>
      <w:lvlJc w:val="left"/>
      <w:pPr>
        <w:ind w:left="720" w:hanging="360"/>
      </w:pPr>
      <w:rPr>
        <w:rFonts w:ascii="Symbol" w:hAnsi="Symbol"/>
      </w:rPr>
    </w:lvl>
    <w:lvl w:ilvl="4" w:tplc="C8ACECA0">
      <w:start w:val="1"/>
      <w:numFmt w:val="bullet"/>
      <w:lvlText w:val=""/>
      <w:lvlJc w:val="left"/>
      <w:pPr>
        <w:ind w:left="720" w:hanging="360"/>
      </w:pPr>
      <w:rPr>
        <w:rFonts w:ascii="Symbol" w:hAnsi="Symbol"/>
      </w:rPr>
    </w:lvl>
    <w:lvl w:ilvl="5" w:tplc="60FE6FE4">
      <w:start w:val="1"/>
      <w:numFmt w:val="bullet"/>
      <w:lvlText w:val=""/>
      <w:lvlJc w:val="left"/>
      <w:pPr>
        <w:ind w:left="720" w:hanging="360"/>
      </w:pPr>
      <w:rPr>
        <w:rFonts w:ascii="Symbol" w:hAnsi="Symbol"/>
      </w:rPr>
    </w:lvl>
    <w:lvl w:ilvl="6" w:tplc="EC2E5BA4">
      <w:start w:val="1"/>
      <w:numFmt w:val="bullet"/>
      <w:lvlText w:val=""/>
      <w:lvlJc w:val="left"/>
      <w:pPr>
        <w:ind w:left="720" w:hanging="360"/>
      </w:pPr>
      <w:rPr>
        <w:rFonts w:ascii="Symbol" w:hAnsi="Symbol"/>
      </w:rPr>
    </w:lvl>
    <w:lvl w:ilvl="7" w:tplc="2BCCBD34">
      <w:start w:val="1"/>
      <w:numFmt w:val="bullet"/>
      <w:lvlText w:val=""/>
      <w:lvlJc w:val="left"/>
      <w:pPr>
        <w:ind w:left="720" w:hanging="360"/>
      </w:pPr>
      <w:rPr>
        <w:rFonts w:ascii="Symbol" w:hAnsi="Symbol"/>
      </w:rPr>
    </w:lvl>
    <w:lvl w:ilvl="8" w:tplc="FBA0DB94">
      <w:start w:val="1"/>
      <w:numFmt w:val="bullet"/>
      <w:lvlText w:val=""/>
      <w:lvlJc w:val="left"/>
      <w:pPr>
        <w:ind w:left="720" w:hanging="360"/>
      </w:pPr>
      <w:rPr>
        <w:rFonts w:ascii="Symbol" w:hAnsi="Symbol"/>
      </w:rPr>
    </w:lvl>
  </w:abstractNum>
  <w:abstractNum w:abstractNumId="10" w15:restartNumberingAfterBreak="0">
    <w:nsid w:val="293C1222"/>
    <w:multiLevelType w:val="hybridMultilevel"/>
    <w:tmpl w:val="BC4E82A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AC639BA"/>
    <w:multiLevelType w:val="hybridMultilevel"/>
    <w:tmpl w:val="88CCA1EE"/>
    <w:lvl w:ilvl="0" w:tplc="E494B7B8">
      <w:start w:val="1"/>
      <w:numFmt w:val="decimal"/>
      <w:lvlText w:val="%1."/>
      <w:lvlJc w:val="left"/>
      <w:pPr>
        <w:ind w:left="360" w:hanging="360"/>
      </w:pPr>
      <w:rPr>
        <w:rFonts w:hint="default"/>
        <w:i w:val="0"/>
        <w:iCs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C4C1B82"/>
    <w:multiLevelType w:val="hybridMultilevel"/>
    <w:tmpl w:val="6EAE65B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2CA45650"/>
    <w:multiLevelType w:val="multilevel"/>
    <w:tmpl w:val="62C23F68"/>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DE6665"/>
    <w:multiLevelType w:val="hybridMultilevel"/>
    <w:tmpl w:val="360E1DEC"/>
    <w:lvl w:ilvl="0" w:tplc="AC4EBD78">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2EF38AA"/>
    <w:multiLevelType w:val="hybridMultilevel"/>
    <w:tmpl w:val="5BD0C45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612155B"/>
    <w:multiLevelType w:val="hybridMultilevel"/>
    <w:tmpl w:val="E774F4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8E13D9B"/>
    <w:multiLevelType w:val="hybridMultilevel"/>
    <w:tmpl w:val="4B10FFCE"/>
    <w:lvl w:ilvl="0" w:tplc="BDC4B7CA">
      <w:start w:val="1"/>
      <w:numFmt w:val="decimal"/>
      <w:lvlText w:val="%1."/>
      <w:lvlJc w:val="left"/>
      <w:pPr>
        <w:ind w:left="360" w:hanging="360"/>
      </w:pPr>
      <w:rPr>
        <w:rFonts w:hint="default"/>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D885159"/>
    <w:multiLevelType w:val="hybridMultilevel"/>
    <w:tmpl w:val="1B3E7276"/>
    <w:lvl w:ilvl="0" w:tplc="AE4E7CB8">
      <w:start w:val="1"/>
      <w:numFmt w:val="bullet"/>
      <w:lvlText w:val=""/>
      <w:lvlJc w:val="left"/>
      <w:pPr>
        <w:ind w:left="720" w:hanging="360"/>
      </w:pPr>
      <w:rPr>
        <w:rFonts w:ascii="Symbol" w:hAnsi="Symbol"/>
      </w:rPr>
    </w:lvl>
    <w:lvl w:ilvl="1" w:tplc="0E90257E">
      <w:start w:val="1"/>
      <w:numFmt w:val="bullet"/>
      <w:lvlText w:val=""/>
      <w:lvlJc w:val="left"/>
      <w:pPr>
        <w:ind w:left="720" w:hanging="360"/>
      </w:pPr>
      <w:rPr>
        <w:rFonts w:ascii="Symbol" w:hAnsi="Symbol"/>
      </w:rPr>
    </w:lvl>
    <w:lvl w:ilvl="2" w:tplc="99A0372E">
      <w:start w:val="1"/>
      <w:numFmt w:val="bullet"/>
      <w:lvlText w:val=""/>
      <w:lvlJc w:val="left"/>
      <w:pPr>
        <w:ind w:left="720" w:hanging="360"/>
      </w:pPr>
      <w:rPr>
        <w:rFonts w:ascii="Symbol" w:hAnsi="Symbol"/>
      </w:rPr>
    </w:lvl>
    <w:lvl w:ilvl="3" w:tplc="46F205EE">
      <w:start w:val="1"/>
      <w:numFmt w:val="bullet"/>
      <w:lvlText w:val=""/>
      <w:lvlJc w:val="left"/>
      <w:pPr>
        <w:ind w:left="720" w:hanging="360"/>
      </w:pPr>
      <w:rPr>
        <w:rFonts w:ascii="Symbol" w:hAnsi="Symbol"/>
      </w:rPr>
    </w:lvl>
    <w:lvl w:ilvl="4" w:tplc="B3E49F80">
      <w:start w:val="1"/>
      <w:numFmt w:val="bullet"/>
      <w:lvlText w:val=""/>
      <w:lvlJc w:val="left"/>
      <w:pPr>
        <w:ind w:left="720" w:hanging="360"/>
      </w:pPr>
      <w:rPr>
        <w:rFonts w:ascii="Symbol" w:hAnsi="Symbol"/>
      </w:rPr>
    </w:lvl>
    <w:lvl w:ilvl="5" w:tplc="58C88DAE">
      <w:start w:val="1"/>
      <w:numFmt w:val="bullet"/>
      <w:lvlText w:val=""/>
      <w:lvlJc w:val="left"/>
      <w:pPr>
        <w:ind w:left="720" w:hanging="360"/>
      </w:pPr>
      <w:rPr>
        <w:rFonts w:ascii="Symbol" w:hAnsi="Symbol"/>
      </w:rPr>
    </w:lvl>
    <w:lvl w:ilvl="6" w:tplc="DB12C2BA">
      <w:start w:val="1"/>
      <w:numFmt w:val="bullet"/>
      <w:lvlText w:val=""/>
      <w:lvlJc w:val="left"/>
      <w:pPr>
        <w:ind w:left="720" w:hanging="360"/>
      </w:pPr>
      <w:rPr>
        <w:rFonts w:ascii="Symbol" w:hAnsi="Symbol"/>
      </w:rPr>
    </w:lvl>
    <w:lvl w:ilvl="7" w:tplc="0D8E65DE">
      <w:start w:val="1"/>
      <w:numFmt w:val="bullet"/>
      <w:lvlText w:val=""/>
      <w:lvlJc w:val="left"/>
      <w:pPr>
        <w:ind w:left="720" w:hanging="360"/>
      </w:pPr>
      <w:rPr>
        <w:rFonts w:ascii="Symbol" w:hAnsi="Symbol"/>
      </w:rPr>
    </w:lvl>
    <w:lvl w:ilvl="8" w:tplc="7F4A9BEE">
      <w:start w:val="1"/>
      <w:numFmt w:val="bullet"/>
      <w:lvlText w:val=""/>
      <w:lvlJc w:val="left"/>
      <w:pPr>
        <w:ind w:left="720" w:hanging="360"/>
      </w:pPr>
      <w:rPr>
        <w:rFonts w:ascii="Symbol" w:hAnsi="Symbol"/>
      </w:rPr>
    </w:lvl>
  </w:abstractNum>
  <w:abstractNum w:abstractNumId="19" w15:restartNumberingAfterBreak="0">
    <w:nsid w:val="3DFC3E45"/>
    <w:multiLevelType w:val="hybridMultilevel"/>
    <w:tmpl w:val="4F5CFAD2"/>
    <w:lvl w:ilvl="0" w:tplc="FFFFFFF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434E48BC"/>
    <w:multiLevelType w:val="hybridMultilevel"/>
    <w:tmpl w:val="43407B04"/>
    <w:lvl w:ilvl="0" w:tplc="E494B7B8">
      <w:start w:val="1"/>
      <w:numFmt w:val="decimal"/>
      <w:lvlText w:val="%1."/>
      <w:lvlJc w:val="left"/>
      <w:pPr>
        <w:ind w:left="360" w:hanging="360"/>
      </w:pPr>
      <w:rPr>
        <w:rFonts w:hint="default"/>
        <w:i w:val="0"/>
        <w:iCs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54A7669"/>
    <w:multiLevelType w:val="hybridMultilevel"/>
    <w:tmpl w:val="098EE68A"/>
    <w:lvl w:ilvl="0" w:tplc="22D0DE5C">
      <w:start w:val="3"/>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7DD2116"/>
    <w:multiLevelType w:val="hybridMultilevel"/>
    <w:tmpl w:val="E2209E40"/>
    <w:lvl w:ilvl="0" w:tplc="AAF64624">
      <w:start w:val="1"/>
      <w:numFmt w:val="bullet"/>
      <w:lvlText w:val=""/>
      <w:lvlJc w:val="left"/>
      <w:pPr>
        <w:ind w:left="1080" w:hanging="360"/>
      </w:pPr>
      <w:rPr>
        <w:rFonts w:ascii="Symbol" w:hAnsi="Symbol"/>
      </w:rPr>
    </w:lvl>
    <w:lvl w:ilvl="1" w:tplc="2342FEDA">
      <w:start w:val="1"/>
      <w:numFmt w:val="bullet"/>
      <w:lvlText w:val=""/>
      <w:lvlJc w:val="left"/>
      <w:pPr>
        <w:ind w:left="1080" w:hanging="360"/>
      </w:pPr>
      <w:rPr>
        <w:rFonts w:ascii="Symbol" w:hAnsi="Symbol"/>
      </w:rPr>
    </w:lvl>
    <w:lvl w:ilvl="2" w:tplc="842E3860">
      <w:start w:val="1"/>
      <w:numFmt w:val="bullet"/>
      <w:lvlText w:val=""/>
      <w:lvlJc w:val="left"/>
      <w:pPr>
        <w:ind w:left="1080" w:hanging="360"/>
      </w:pPr>
      <w:rPr>
        <w:rFonts w:ascii="Symbol" w:hAnsi="Symbol"/>
      </w:rPr>
    </w:lvl>
    <w:lvl w:ilvl="3" w:tplc="430C90D0">
      <w:start w:val="1"/>
      <w:numFmt w:val="bullet"/>
      <w:lvlText w:val=""/>
      <w:lvlJc w:val="left"/>
      <w:pPr>
        <w:ind w:left="1080" w:hanging="360"/>
      </w:pPr>
      <w:rPr>
        <w:rFonts w:ascii="Symbol" w:hAnsi="Symbol"/>
      </w:rPr>
    </w:lvl>
    <w:lvl w:ilvl="4" w:tplc="E46E0FB0">
      <w:start w:val="1"/>
      <w:numFmt w:val="bullet"/>
      <w:lvlText w:val=""/>
      <w:lvlJc w:val="left"/>
      <w:pPr>
        <w:ind w:left="1080" w:hanging="360"/>
      </w:pPr>
      <w:rPr>
        <w:rFonts w:ascii="Symbol" w:hAnsi="Symbol"/>
      </w:rPr>
    </w:lvl>
    <w:lvl w:ilvl="5" w:tplc="38EE90F4">
      <w:start w:val="1"/>
      <w:numFmt w:val="bullet"/>
      <w:lvlText w:val=""/>
      <w:lvlJc w:val="left"/>
      <w:pPr>
        <w:ind w:left="1080" w:hanging="360"/>
      </w:pPr>
      <w:rPr>
        <w:rFonts w:ascii="Symbol" w:hAnsi="Symbol"/>
      </w:rPr>
    </w:lvl>
    <w:lvl w:ilvl="6" w:tplc="8B967858">
      <w:start w:val="1"/>
      <w:numFmt w:val="bullet"/>
      <w:lvlText w:val=""/>
      <w:lvlJc w:val="left"/>
      <w:pPr>
        <w:ind w:left="1080" w:hanging="360"/>
      </w:pPr>
      <w:rPr>
        <w:rFonts w:ascii="Symbol" w:hAnsi="Symbol"/>
      </w:rPr>
    </w:lvl>
    <w:lvl w:ilvl="7" w:tplc="4A0AE916">
      <w:start w:val="1"/>
      <w:numFmt w:val="bullet"/>
      <w:lvlText w:val=""/>
      <w:lvlJc w:val="left"/>
      <w:pPr>
        <w:ind w:left="1080" w:hanging="360"/>
      </w:pPr>
      <w:rPr>
        <w:rFonts w:ascii="Symbol" w:hAnsi="Symbol"/>
      </w:rPr>
    </w:lvl>
    <w:lvl w:ilvl="8" w:tplc="704EC0C2">
      <w:start w:val="1"/>
      <w:numFmt w:val="bullet"/>
      <w:lvlText w:val=""/>
      <w:lvlJc w:val="left"/>
      <w:pPr>
        <w:ind w:left="1080" w:hanging="360"/>
      </w:pPr>
      <w:rPr>
        <w:rFonts w:ascii="Symbol" w:hAnsi="Symbol"/>
      </w:rPr>
    </w:lvl>
  </w:abstractNum>
  <w:abstractNum w:abstractNumId="23" w15:restartNumberingAfterBreak="0">
    <w:nsid w:val="48D545EB"/>
    <w:multiLevelType w:val="hybridMultilevel"/>
    <w:tmpl w:val="027EF3CE"/>
    <w:lvl w:ilvl="0" w:tplc="95C051C2">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D853F5E"/>
    <w:multiLevelType w:val="hybridMultilevel"/>
    <w:tmpl w:val="638ED5AA"/>
    <w:lvl w:ilvl="0" w:tplc="7FB0163C">
      <w:start w:val="1"/>
      <w:numFmt w:val="bullet"/>
      <w:lvlText w:val=""/>
      <w:lvlJc w:val="left"/>
      <w:pPr>
        <w:ind w:left="1080" w:hanging="360"/>
      </w:pPr>
      <w:rPr>
        <w:rFonts w:ascii="Symbol" w:hAnsi="Symbol"/>
      </w:rPr>
    </w:lvl>
    <w:lvl w:ilvl="1" w:tplc="5BDEC4DC">
      <w:start w:val="1"/>
      <w:numFmt w:val="bullet"/>
      <w:lvlText w:val=""/>
      <w:lvlJc w:val="left"/>
      <w:pPr>
        <w:ind w:left="1080" w:hanging="360"/>
      </w:pPr>
      <w:rPr>
        <w:rFonts w:ascii="Symbol" w:hAnsi="Symbol"/>
      </w:rPr>
    </w:lvl>
    <w:lvl w:ilvl="2" w:tplc="CA722ACE">
      <w:start w:val="1"/>
      <w:numFmt w:val="bullet"/>
      <w:lvlText w:val=""/>
      <w:lvlJc w:val="left"/>
      <w:pPr>
        <w:ind w:left="1080" w:hanging="360"/>
      </w:pPr>
      <w:rPr>
        <w:rFonts w:ascii="Symbol" w:hAnsi="Symbol"/>
      </w:rPr>
    </w:lvl>
    <w:lvl w:ilvl="3" w:tplc="A4E0ADC4">
      <w:start w:val="1"/>
      <w:numFmt w:val="bullet"/>
      <w:lvlText w:val=""/>
      <w:lvlJc w:val="left"/>
      <w:pPr>
        <w:ind w:left="1080" w:hanging="360"/>
      </w:pPr>
      <w:rPr>
        <w:rFonts w:ascii="Symbol" w:hAnsi="Symbol"/>
      </w:rPr>
    </w:lvl>
    <w:lvl w:ilvl="4" w:tplc="B0147020">
      <w:start w:val="1"/>
      <w:numFmt w:val="bullet"/>
      <w:lvlText w:val=""/>
      <w:lvlJc w:val="left"/>
      <w:pPr>
        <w:ind w:left="1080" w:hanging="360"/>
      </w:pPr>
      <w:rPr>
        <w:rFonts w:ascii="Symbol" w:hAnsi="Symbol"/>
      </w:rPr>
    </w:lvl>
    <w:lvl w:ilvl="5" w:tplc="0A12907E">
      <w:start w:val="1"/>
      <w:numFmt w:val="bullet"/>
      <w:lvlText w:val=""/>
      <w:lvlJc w:val="left"/>
      <w:pPr>
        <w:ind w:left="1080" w:hanging="360"/>
      </w:pPr>
      <w:rPr>
        <w:rFonts w:ascii="Symbol" w:hAnsi="Symbol"/>
      </w:rPr>
    </w:lvl>
    <w:lvl w:ilvl="6" w:tplc="B882EB66">
      <w:start w:val="1"/>
      <w:numFmt w:val="bullet"/>
      <w:lvlText w:val=""/>
      <w:lvlJc w:val="left"/>
      <w:pPr>
        <w:ind w:left="1080" w:hanging="360"/>
      </w:pPr>
      <w:rPr>
        <w:rFonts w:ascii="Symbol" w:hAnsi="Symbol"/>
      </w:rPr>
    </w:lvl>
    <w:lvl w:ilvl="7" w:tplc="40A8EE24">
      <w:start w:val="1"/>
      <w:numFmt w:val="bullet"/>
      <w:lvlText w:val=""/>
      <w:lvlJc w:val="left"/>
      <w:pPr>
        <w:ind w:left="1080" w:hanging="360"/>
      </w:pPr>
      <w:rPr>
        <w:rFonts w:ascii="Symbol" w:hAnsi="Symbol"/>
      </w:rPr>
    </w:lvl>
    <w:lvl w:ilvl="8" w:tplc="6D665240">
      <w:start w:val="1"/>
      <w:numFmt w:val="bullet"/>
      <w:lvlText w:val=""/>
      <w:lvlJc w:val="left"/>
      <w:pPr>
        <w:ind w:left="1080" w:hanging="360"/>
      </w:pPr>
      <w:rPr>
        <w:rFonts w:ascii="Symbol" w:hAnsi="Symbol"/>
      </w:rPr>
    </w:lvl>
  </w:abstractNum>
  <w:abstractNum w:abstractNumId="25" w15:restartNumberingAfterBreak="0">
    <w:nsid w:val="4E280C5C"/>
    <w:multiLevelType w:val="hybridMultilevel"/>
    <w:tmpl w:val="16645AF4"/>
    <w:lvl w:ilvl="0" w:tplc="0425000F">
      <w:start w:val="10"/>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4E376960"/>
    <w:multiLevelType w:val="hybridMultilevel"/>
    <w:tmpl w:val="831083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73129CA"/>
    <w:multiLevelType w:val="hybridMultilevel"/>
    <w:tmpl w:val="34AAB3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713A1E"/>
    <w:multiLevelType w:val="hybridMultilevel"/>
    <w:tmpl w:val="C22CB74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5B0B7B50"/>
    <w:multiLevelType w:val="hybridMultilevel"/>
    <w:tmpl w:val="09E615B0"/>
    <w:lvl w:ilvl="0" w:tplc="6C4619E6">
      <w:start w:val="1"/>
      <w:numFmt w:val="bullet"/>
      <w:lvlText w:val=""/>
      <w:lvlJc w:val="left"/>
      <w:pPr>
        <w:ind w:left="720" w:hanging="360"/>
      </w:pPr>
      <w:rPr>
        <w:rFonts w:ascii="Symbol" w:hAnsi="Symbol"/>
      </w:rPr>
    </w:lvl>
    <w:lvl w:ilvl="1" w:tplc="04127516">
      <w:start w:val="1"/>
      <w:numFmt w:val="bullet"/>
      <w:lvlText w:val=""/>
      <w:lvlJc w:val="left"/>
      <w:pPr>
        <w:ind w:left="720" w:hanging="360"/>
      </w:pPr>
      <w:rPr>
        <w:rFonts w:ascii="Symbol" w:hAnsi="Symbol"/>
      </w:rPr>
    </w:lvl>
    <w:lvl w:ilvl="2" w:tplc="5D8C41F8">
      <w:start w:val="1"/>
      <w:numFmt w:val="bullet"/>
      <w:lvlText w:val=""/>
      <w:lvlJc w:val="left"/>
      <w:pPr>
        <w:ind w:left="720" w:hanging="360"/>
      </w:pPr>
      <w:rPr>
        <w:rFonts w:ascii="Symbol" w:hAnsi="Symbol"/>
      </w:rPr>
    </w:lvl>
    <w:lvl w:ilvl="3" w:tplc="54326112">
      <w:start w:val="1"/>
      <w:numFmt w:val="bullet"/>
      <w:lvlText w:val=""/>
      <w:lvlJc w:val="left"/>
      <w:pPr>
        <w:ind w:left="720" w:hanging="360"/>
      </w:pPr>
      <w:rPr>
        <w:rFonts w:ascii="Symbol" w:hAnsi="Symbol"/>
      </w:rPr>
    </w:lvl>
    <w:lvl w:ilvl="4" w:tplc="4CD87BEE">
      <w:start w:val="1"/>
      <w:numFmt w:val="bullet"/>
      <w:lvlText w:val=""/>
      <w:lvlJc w:val="left"/>
      <w:pPr>
        <w:ind w:left="720" w:hanging="360"/>
      </w:pPr>
      <w:rPr>
        <w:rFonts w:ascii="Symbol" w:hAnsi="Symbol"/>
      </w:rPr>
    </w:lvl>
    <w:lvl w:ilvl="5" w:tplc="E5B627E4">
      <w:start w:val="1"/>
      <w:numFmt w:val="bullet"/>
      <w:lvlText w:val=""/>
      <w:lvlJc w:val="left"/>
      <w:pPr>
        <w:ind w:left="720" w:hanging="360"/>
      </w:pPr>
      <w:rPr>
        <w:rFonts w:ascii="Symbol" w:hAnsi="Symbol"/>
      </w:rPr>
    </w:lvl>
    <w:lvl w:ilvl="6" w:tplc="A32A0F9A">
      <w:start w:val="1"/>
      <w:numFmt w:val="bullet"/>
      <w:lvlText w:val=""/>
      <w:lvlJc w:val="left"/>
      <w:pPr>
        <w:ind w:left="720" w:hanging="360"/>
      </w:pPr>
      <w:rPr>
        <w:rFonts w:ascii="Symbol" w:hAnsi="Symbol"/>
      </w:rPr>
    </w:lvl>
    <w:lvl w:ilvl="7" w:tplc="0CD82A58">
      <w:start w:val="1"/>
      <w:numFmt w:val="bullet"/>
      <w:lvlText w:val=""/>
      <w:lvlJc w:val="left"/>
      <w:pPr>
        <w:ind w:left="720" w:hanging="360"/>
      </w:pPr>
      <w:rPr>
        <w:rFonts w:ascii="Symbol" w:hAnsi="Symbol"/>
      </w:rPr>
    </w:lvl>
    <w:lvl w:ilvl="8" w:tplc="BB04244C">
      <w:start w:val="1"/>
      <w:numFmt w:val="bullet"/>
      <w:lvlText w:val=""/>
      <w:lvlJc w:val="left"/>
      <w:pPr>
        <w:ind w:left="720" w:hanging="360"/>
      </w:pPr>
      <w:rPr>
        <w:rFonts w:ascii="Symbol" w:hAnsi="Symbol"/>
      </w:rPr>
    </w:lvl>
  </w:abstractNum>
  <w:abstractNum w:abstractNumId="30" w15:restartNumberingAfterBreak="0">
    <w:nsid w:val="69C87C29"/>
    <w:multiLevelType w:val="multilevel"/>
    <w:tmpl w:val="E21A7A36"/>
    <w:lvl w:ilvl="0">
      <w:start w:val="1"/>
      <w:numFmt w:val="decimal"/>
      <w:lvlText w:val="%1."/>
      <w:lvlJc w:val="left"/>
      <w:pPr>
        <w:ind w:left="0" w:firstLine="0"/>
      </w:pPr>
      <w:rPr>
        <w:rFonts w:hint="default"/>
        <w:i w:val="0"/>
        <w:iCs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AD7072D"/>
    <w:multiLevelType w:val="multilevel"/>
    <w:tmpl w:val="0AC45F7E"/>
    <w:lvl w:ilvl="0">
      <w:start w:val="1"/>
      <w:numFmt w:val="decimal"/>
      <w:lvlText w:val="%1."/>
      <w:lvlJc w:val="left"/>
      <w:pPr>
        <w:ind w:left="360" w:hanging="360"/>
      </w:pPr>
      <w:rPr>
        <w:rFonts w:ascii="Times New Roman" w:hAnsi="Times New Roman" w:cs="Times New Roman" w:hint="default"/>
        <w:b/>
        <w:bCs w:val="0"/>
        <w:sz w:val="24"/>
        <w:szCs w:val="24"/>
      </w:rPr>
    </w:lvl>
    <w:lvl w:ilvl="1">
      <w:start w:val="1"/>
      <w:numFmt w:val="decimal"/>
      <w:isLgl/>
      <w:lvlText w:val="%1.%2"/>
      <w:lvlJc w:val="left"/>
      <w:pPr>
        <w:ind w:left="36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2" w15:restartNumberingAfterBreak="0">
    <w:nsid w:val="751E3E7A"/>
    <w:multiLevelType w:val="hybridMultilevel"/>
    <w:tmpl w:val="39444286"/>
    <w:lvl w:ilvl="0" w:tplc="6B8A2982">
      <w:start w:val="1"/>
      <w:numFmt w:val="bullet"/>
      <w:lvlText w:val=""/>
      <w:lvlJc w:val="left"/>
      <w:pPr>
        <w:ind w:left="1080" w:hanging="360"/>
      </w:pPr>
      <w:rPr>
        <w:rFonts w:ascii="Symbol" w:hAnsi="Symbol"/>
      </w:rPr>
    </w:lvl>
    <w:lvl w:ilvl="1" w:tplc="B4F6DABC">
      <w:start w:val="1"/>
      <w:numFmt w:val="bullet"/>
      <w:lvlText w:val=""/>
      <w:lvlJc w:val="left"/>
      <w:pPr>
        <w:ind w:left="1080" w:hanging="360"/>
      </w:pPr>
      <w:rPr>
        <w:rFonts w:ascii="Symbol" w:hAnsi="Symbol"/>
      </w:rPr>
    </w:lvl>
    <w:lvl w:ilvl="2" w:tplc="F4748F22">
      <w:start w:val="1"/>
      <w:numFmt w:val="bullet"/>
      <w:lvlText w:val=""/>
      <w:lvlJc w:val="left"/>
      <w:pPr>
        <w:ind w:left="1080" w:hanging="360"/>
      </w:pPr>
      <w:rPr>
        <w:rFonts w:ascii="Symbol" w:hAnsi="Symbol"/>
      </w:rPr>
    </w:lvl>
    <w:lvl w:ilvl="3" w:tplc="856C04E0">
      <w:start w:val="1"/>
      <w:numFmt w:val="bullet"/>
      <w:lvlText w:val=""/>
      <w:lvlJc w:val="left"/>
      <w:pPr>
        <w:ind w:left="1080" w:hanging="360"/>
      </w:pPr>
      <w:rPr>
        <w:rFonts w:ascii="Symbol" w:hAnsi="Symbol"/>
      </w:rPr>
    </w:lvl>
    <w:lvl w:ilvl="4" w:tplc="83561ED8">
      <w:start w:val="1"/>
      <w:numFmt w:val="bullet"/>
      <w:lvlText w:val=""/>
      <w:lvlJc w:val="left"/>
      <w:pPr>
        <w:ind w:left="1080" w:hanging="360"/>
      </w:pPr>
      <w:rPr>
        <w:rFonts w:ascii="Symbol" w:hAnsi="Symbol"/>
      </w:rPr>
    </w:lvl>
    <w:lvl w:ilvl="5" w:tplc="9AF40EC6">
      <w:start w:val="1"/>
      <w:numFmt w:val="bullet"/>
      <w:lvlText w:val=""/>
      <w:lvlJc w:val="left"/>
      <w:pPr>
        <w:ind w:left="1080" w:hanging="360"/>
      </w:pPr>
      <w:rPr>
        <w:rFonts w:ascii="Symbol" w:hAnsi="Symbol"/>
      </w:rPr>
    </w:lvl>
    <w:lvl w:ilvl="6" w:tplc="358CC3EE">
      <w:start w:val="1"/>
      <w:numFmt w:val="bullet"/>
      <w:lvlText w:val=""/>
      <w:lvlJc w:val="left"/>
      <w:pPr>
        <w:ind w:left="1080" w:hanging="360"/>
      </w:pPr>
      <w:rPr>
        <w:rFonts w:ascii="Symbol" w:hAnsi="Symbol"/>
      </w:rPr>
    </w:lvl>
    <w:lvl w:ilvl="7" w:tplc="237C9890">
      <w:start w:val="1"/>
      <w:numFmt w:val="bullet"/>
      <w:lvlText w:val=""/>
      <w:lvlJc w:val="left"/>
      <w:pPr>
        <w:ind w:left="1080" w:hanging="360"/>
      </w:pPr>
      <w:rPr>
        <w:rFonts w:ascii="Symbol" w:hAnsi="Symbol"/>
      </w:rPr>
    </w:lvl>
    <w:lvl w:ilvl="8" w:tplc="55982060">
      <w:start w:val="1"/>
      <w:numFmt w:val="bullet"/>
      <w:lvlText w:val=""/>
      <w:lvlJc w:val="left"/>
      <w:pPr>
        <w:ind w:left="1080" w:hanging="360"/>
      </w:pPr>
      <w:rPr>
        <w:rFonts w:ascii="Symbol" w:hAnsi="Symbol"/>
      </w:rPr>
    </w:lvl>
  </w:abstractNum>
  <w:abstractNum w:abstractNumId="33" w15:restartNumberingAfterBreak="0">
    <w:nsid w:val="774D200D"/>
    <w:multiLevelType w:val="hybridMultilevel"/>
    <w:tmpl w:val="896694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A1B36CF"/>
    <w:multiLevelType w:val="hybridMultilevel"/>
    <w:tmpl w:val="A3DE1168"/>
    <w:lvl w:ilvl="0" w:tplc="336C07F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C9E18BF"/>
    <w:multiLevelType w:val="hybridMultilevel"/>
    <w:tmpl w:val="0D8AE7CE"/>
    <w:lvl w:ilvl="0" w:tplc="7E2860EA">
      <w:start w:val="1"/>
      <w:numFmt w:val="bullet"/>
      <w:lvlText w:val=""/>
      <w:lvlJc w:val="left"/>
      <w:pPr>
        <w:ind w:left="1080" w:hanging="360"/>
      </w:pPr>
      <w:rPr>
        <w:rFonts w:ascii="Symbol" w:hAnsi="Symbol"/>
      </w:rPr>
    </w:lvl>
    <w:lvl w:ilvl="1" w:tplc="793A332C">
      <w:start w:val="1"/>
      <w:numFmt w:val="bullet"/>
      <w:lvlText w:val=""/>
      <w:lvlJc w:val="left"/>
      <w:pPr>
        <w:ind w:left="1440" w:hanging="360"/>
      </w:pPr>
      <w:rPr>
        <w:rFonts w:ascii="Symbol" w:hAnsi="Symbol"/>
      </w:rPr>
    </w:lvl>
    <w:lvl w:ilvl="2" w:tplc="C20CEF34">
      <w:start w:val="1"/>
      <w:numFmt w:val="bullet"/>
      <w:lvlText w:val=""/>
      <w:lvlJc w:val="left"/>
      <w:pPr>
        <w:ind w:left="1080" w:hanging="360"/>
      </w:pPr>
      <w:rPr>
        <w:rFonts w:ascii="Symbol" w:hAnsi="Symbol"/>
      </w:rPr>
    </w:lvl>
    <w:lvl w:ilvl="3" w:tplc="4D88CEAE">
      <w:start w:val="1"/>
      <w:numFmt w:val="bullet"/>
      <w:lvlText w:val=""/>
      <w:lvlJc w:val="left"/>
      <w:pPr>
        <w:ind w:left="1080" w:hanging="360"/>
      </w:pPr>
      <w:rPr>
        <w:rFonts w:ascii="Symbol" w:hAnsi="Symbol"/>
      </w:rPr>
    </w:lvl>
    <w:lvl w:ilvl="4" w:tplc="9E4C7582">
      <w:start w:val="1"/>
      <w:numFmt w:val="bullet"/>
      <w:lvlText w:val=""/>
      <w:lvlJc w:val="left"/>
      <w:pPr>
        <w:ind w:left="1080" w:hanging="360"/>
      </w:pPr>
      <w:rPr>
        <w:rFonts w:ascii="Symbol" w:hAnsi="Symbol"/>
      </w:rPr>
    </w:lvl>
    <w:lvl w:ilvl="5" w:tplc="59744768">
      <w:start w:val="1"/>
      <w:numFmt w:val="bullet"/>
      <w:lvlText w:val=""/>
      <w:lvlJc w:val="left"/>
      <w:pPr>
        <w:ind w:left="1080" w:hanging="360"/>
      </w:pPr>
      <w:rPr>
        <w:rFonts w:ascii="Symbol" w:hAnsi="Symbol"/>
      </w:rPr>
    </w:lvl>
    <w:lvl w:ilvl="6" w:tplc="B77C8C88">
      <w:start w:val="1"/>
      <w:numFmt w:val="bullet"/>
      <w:lvlText w:val=""/>
      <w:lvlJc w:val="left"/>
      <w:pPr>
        <w:ind w:left="1080" w:hanging="360"/>
      </w:pPr>
      <w:rPr>
        <w:rFonts w:ascii="Symbol" w:hAnsi="Symbol"/>
      </w:rPr>
    </w:lvl>
    <w:lvl w:ilvl="7" w:tplc="B2E0CD30">
      <w:start w:val="1"/>
      <w:numFmt w:val="bullet"/>
      <w:lvlText w:val=""/>
      <w:lvlJc w:val="left"/>
      <w:pPr>
        <w:ind w:left="1080" w:hanging="360"/>
      </w:pPr>
      <w:rPr>
        <w:rFonts w:ascii="Symbol" w:hAnsi="Symbol"/>
      </w:rPr>
    </w:lvl>
    <w:lvl w:ilvl="8" w:tplc="36FA6E28">
      <w:start w:val="1"/>
      <w:numFmt w:val="bullet"/>
      <w:lvlText w:val=""/>
      <w:lvlJc w:val="left"/>
      <w:pPr>
        <w:ind w:left="1080" w:hanging="360"/>
      </w:pPr>
      <w:rPr>
        <w:rFonts w:ascii="Symbol" w:hAnsi="Symbol"/>
      </w:rPr>
    </w:lvl>
  </w:abstractNum>
  <w:num w:numId="1">
    <w:abstractNumId w:val="31"/>
  </w:num>
  <w:num w:numId="2">
    <w:abstractNumId w:val="13"/>
  </w:num>
  <w:num w:numId="3">
    <w:abstractNumId w:val="7"/>
  </w:num>
  <w:num w:numId="4">
    <w:abstractNumId w:val="8"/>
  </w:num>
  <w:num w:numId="5">
    <w:abstractNumId w:val="15"/>
  </w:num>
  <w:num w:numId="6">
    <w:abstractNumId w:val="26"/>
  </w:num>
  <w:num w:numId="7">
    <w:abstractNumId w:val="30"/>
  </w:num>
  <w:num w:numId="8">
    <w:abstractNumId w:val="0"/>
  </w:num>
  <w:num w:numId="9">
    <w:abstractNumId w:val="17"/>
  </w:num>
  <w:num w:numId="10">
    <w:abstractNumId w:val="3"/>
  </w:num>
  <w:num w:numId="11">
    <w:abstractNumId w:val="27"/>
  </w:num>
  <w:num w:numId="12">
    <w:abstractNumId w:val="19"/>
  </w:num>
  <w:num w:numId="13">
    <w:abstractNumId w:val="20"/>
  </w:num>
  <w:num w:numId="14">
    <w:abstractNumId w:val="6"/>
  </w:num>
  <w:num w:numId="15">
    <w:abstractNumId w:val="28"/>
  </w:num>
  <w:num w:numId="16">
    <w:abstractNumId w:val="12"/>
  </w:num>
  <w:num w:numId="17">
    <w:abstractNumId w:val="2"/>
  </w:num>
  <w:num w:numId="18">
    <w:abstractNumId w:val="10"/>
  </w:num>
  <w:num w:numId="19">
    <w:abstractNumId w:val="11"/>
  </w:num>
  <w:num w:numId="20">
    <w:abstractNumId w:val="16"/>
  </w:num>
  <w:num w:numId="21">
    <w:abstractNumId w:val="34"/>
  </w:num>
  <w:num w:numId="22">
    <w:abstractNumId w:val="1"/>
  </w:num>
  <w:num w:numId="23">
    <w:abstractNumId w:val="5"/>
  </w:num>
  <w:num w:numId="24">
    <w:abstractNumId w:val="25"/>
  </w:num>
  <w:num w:numId="25">
    <w:abstractNumId w:val="35"/>
  </w:num>
  <w:num w:numId="26">
    <w:abstractNumId w:val="21"/>
  </w:num>
  <w:num w:numId="27">
    <w:abstractNumId w:val="29"/>
  </w:num>
  <w:num w:numId="28">
    <w:abstractNumId w:val="32"/>
  </w:num>
  <w:num w:numId="29">
    <w:abstractNumId w:val="18"/>
  </w:num>
  <w:num w:numId="30">
    <w:abstractNumId w:val="24"/>
  </w:num>
  <w:num w:numId="31">
    <w:abstractNumId w:val="9"/>
  </w:num>
  <w:num w:numId="32">
    <w:abstractNumId w:val="22"/>
  </w:num>
  <w:num w:numId="33">
    <w:abstractNumId w:val="4"/>
  </w:num>
  <w:num w:numId="34">
    <w:abstractNumId w:val="14"/>
  </w:num>
  <w:num w:numId="35">
    <w:abstractNumId w:val="2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89"/>
    <w:rsid w:val="000011E2"/>
    <w:rsid w:val="000252EC"/>
    <w:rsid w:val="00026E0C"/>
    <w:rsid w:val="0004169D"/>
    <w:rsid w:val="000C1B3D"/>
    <w:rsid w:val="000C1FF2"/>
    <w:rsid w:val="000F0340"/>
    <w:rsid w:val="000F492D"/>
    <w:rsid w:val="00123F90"/>
    <w:rsid w:val="00163759"/>
    <w:rsid w:val="00194A32"/>
    <w:rsid w:val="001E29CE"/>
    <w:rsid w:val="001E6909"/>
    <w:rsid w:val="0021791B"/>
    <w:rsid w:val="00285AE9"/>
    <w:rsid w:val="002E071F"/>
    <w:rsid w:val="00310A1C"/>
    <w:rsid w:val="00317807"/>
    <w:rsid w:val="00396CAA"/>
    <w:rsid w:val="003B1E96"/>
    <w:rsid w:val="004847B4"/>
    <w:rsid w:val="004B27DB"/>
    <w:rsid w:val="0054633F"/>
    <w:rsid w:val="00547D14"/>
    <w:rsid w:val="00586CE2"/>
    <w:rsid w:val="005959CF"/>
    <w:rsid w:val="005A7E30"/>
    <w:rsid w:val="006434C4"/>
    <w:rsid w:val="00657465"/>
    <w:rsid w:val="006A4575"/>
    <w:rsid w:val="006B44F1"/>
    <w:rsid w:val="006D508A"/>
    <w:rsid w:val="007077B3"/>
    <w:rsid w:val="007272FE"/>
    <w:rsid w:val="007355A0"/>
    <w:rsid w:val="0073668B"/>
    <w:rsid w:val="007C15B0"/>
    <w:rsid w:val="008474C4"/>
    <w:rsid w:val="00872C67"/>
    <w:rsid w:val="00891137"/>
    <w:rsid w:val="008C3922"/>
    <w:rsid w:val="00911C7A"/>
    <w:rsid w:val="00995E76"/>
    <w:rsid w:val="009A7300"/>
    <w:rsid w:val="009D2002"/>
    <w:rsid w:val="009F47BA"/>
    <w:rsid w:val="00A32B2F"/>
    <w:rsid w:val="00A32C83"/>
    <w:rsid w:val="00A7380D"/>
    <w:rsid w:val="00B07FB5"/>
    <w:rsid w:val="00B51F66"/>
    <w:rsid w:val="00B54E59"/>
    <w:rsid w:val="00B608DD"/>
    <w:rsid w:val="00BA620D"/>
    <w:rsid w:val="00BF6083"/>
    <w:rsid w:val="00C10301"/>
    <w:rsid w:val="00C2417B"/>
    <w:rsid w:val="00C54C47"/>
    <w:rsid w:val="00C67089"/>
    <w:rsid w:val="00CC0DEF"/>
    <w:rsid w:val="00CD2A3E"/>
    <w:rsid w:val="00CE7D06"/>
    <w:rsid w:val="00D072A1"/>
    <w:rsid w:val="00D242F4"/>
    <w:rsid w:val="00D3316B"/>
    <w:rsid w:val="00D75989"/>
    <w:rsid w:val="00DE7375"/>
    <w:rsid w:val="00E6410A"/>
    <w:rsid w:val="00E64960"/>
    <w:rsid w:val="00E67051"/>
    <w:rsid w:val="00E97AD0"/>
    <w:rsid w:val="00EB0AFF"/>
    <w:rsid w:val="00EC5B33"/>
    <w:rsid w:val="00EF6D46"/>
    <w:rsid w:val="00F241A7"/>
    <w:rsid w:val="00FC67EB"/>
    <w:rsid w:val="00FF66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9C32A"/>
  <w15:chartTrackingRefBased/>
  <w15:docId w15:val="{F8E0B9F5-61DB-43BE-B50B-3F589C62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FB5"/>
  </w:style>
  <w:style w:type="paragraph" w:styleId="Footer">
    <w:name w:val="footer"/>
    <w:basedOn w:val="Normal"/>
    <w:link w:val="FooterChar"/>
    <w:uiPriority w:val="99"/>
    <w:unhideWhenUsed/>
    <w:rsid w:val="00B07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FB5"/>
  </w:style>
  <w:style w:type="table" w:styleId="TableGrid">
    <w:name w:val="Table Grid"/>
    <w:basedOn w:val="TableNormal"/>
    <w:uiPriority w:val="39"/>
    <w:rsid w:val="00B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 w:type="paragraph" w:styleId="FootnoteText">
    <w:name w:val="footnote text"/>
    <w:basedOn w:val="Normal"/>
    <w:link w:val="FootnoteTextChar"/>
    <w:uiPriority w:val="99"/>
    <w:semiHidden/>
    <w:unhideWhenUsed/>
    <w:rsid w:val="00547D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D14"/>
    <w:rPr>
      <w:sz w:val="20"/>
      <w:szCs w:val="20"/>
    </w:rPr>
  </w:style>
  <w:style w:type="character" w:styleId="FootnoteReference">
    <w:name w:val="footnote reference"/>
    <w:basedOn w:val="DefaultParagraphFont"/>
    <w:uiPriority w:val="99"/>
    <w:unhideWhenUsed/>
    <w:rsid w:val="00547D14"/>
    <w:rPr>
      <w:vertAlign w:val="superscript"/>
    </w:rPr>
  </w:style>
  <w:style w:type="character" w:styleId="CommentReference">
    <w:name w:val="annotation reference"/>
    <w:basedOn w:val="DefaultParagraphFont"/>
    <w:uiPriority w:val="99"/>
    <w:semiHidden/>
    <w:unhideWhenUsed/>
    <w:rsid w:val="00547D14"/>
    <w:rPr>
      <w:sz w:val="16"/>
      <w:szCs w:val="16"/>
    </w:rPr>
  </w:style>
  <w:style w:type="paragraph" w:styleId="CommentText">
    <w:name w:val="annotation text"/>
    <w:basedOn w:val="Normal"/>
    <w:link w:val="CommentTextChar"/>
    <w:uiPriority w:val="99"/>
    <w:unhideWhenUsed/>
    <w:rsid w:val="00547D14"/>
    <w:pPr>
      <w:spacing w:line="240" w:lineRule="auto"/>
    </w:pPr>
    <w:rPr>
      <w:sz w:val="20"/>
      <w:szCs w:val="20"/>
    </w:rPr>
  </w:style>
  <w:style w:type="character" w:customStyle="1" w:styleId="CommentTextChar">
    <w:name w:val="Comment Text Char"/>
    <w:basedOn w:val="DefaultParagraphFont"/>
    <w:link w:val="CommentText"/>
    <w:uiPriority w:val="99"/>
    <w:rsid w:val="00547D14"/>
    <w:rPr>
      <w:sz w:val="20"/>
      <w:szCs w:val="20"/>
    </w:rPr>
  </w:style>
  <w:style w:type="paragraph" w:styleId="CommentSubject">
    <w:name w:val="annotation subject"/>
    <w:basedOn w:val="CommentText"/>
    <w:next w:val="CommentText"/>
    <w:link w:val="CommentSubjectChar"/>
    <w:uiPriority w:val="99"/>
    <w:semiHidden/>
    <w:unhideWhenUsed/>
    <w:rsid w:val="00547D14"/>
    <w:rPr>
      <w:b/>
      <w:bCs/>
    </w:rPr>
  </w:style>
  <w:style w:type="character" w:customStyle="1" w:styleId="CommentSubjectChar">
    <w:name w:val="Comment Subject Char"/>
    <w:basedOn w:val="CommentTextChar"/>
    <w:link w:val="CommentSubject"/>
    <w:uiPriority w:val="99"/>
    <w:semiHidden/>
    <w:rsid w:val="00547D14"/>
    <w:rPr>
      <w:b/>
      <w:bCs/>
      <w:sz w:val="20"/>
      <w:szCs w:val="20"/>
    </w:rPr>
  </w:style>
  <w:style w:type="paragraph" w:styleId="ListParagraph">
    <w:name w:val="List Paragraph"/>
    <w:basedOn w:val="Normal"/>
    <w:uiPriority w:val="34"/>
    <w:qFormat/>
    <w:rsid w:val="00547D14"/>
    <w:pPr>
      <w:ind w:left="720"/>
      <w:contextualSpacing/>
    </w:pPr>
  </w:style>
  <w:style w:type="character" w:styleId="IntenseReference">
    <w:name w:val="Intense Reference"/>
    <w:basedOn w:val="DefaultParagraphFont"/>
    <w:uiPriority w:val="32"/>
    <w:qFormat/>
    <w:rsid w:val="00547D14"/>
    <w:rPr>
      <w:b/>
      <w:bCs/>
      <w:smallCaps/>
      <w:color w:val="4472C4" w:themeColor="accent1"/>
      <w:spacing w:val="5"/>
    </w:rPr>
  </w:style>
  <w:style w:type="paragraph" w:styleId="Revision">
    <w:name w:val="Revision"/>
    <w:hidden/>
    <w:uiPriority w:val="99"/>
    <w:semiHidden/>
    <w:rsid w:val="00547D14"/>
    <w:pPr>
      <w:spacing w:after="0" w:line="240" w:lineRule="auto"/>
    </w:pPr>
  </w:style>
  <w:style w:type="paragraph" w:styleId="NormalWeb">
    <w:name w:val="Normal (Web)"/>
    <w:basedOn w:val="Normal"/>
    <w:uiPriority w:val="99"/>
    <w:semiHidden/>
    <w:unhideWhenUsed/>
    <w:rsid w:val="00547D14"/>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547D14"/>
    <w:rPr>
      <w:color w:val="605E5C"/>
      <w:shd w:val="clear" w:color="auto" w:fill="E1DFDD"/>
    </w:rPr>
  </w:style>
  <w:style w:type="character" w:styleId="FollowedHyperlink">
    <w:name w:val="FollowedHyperlink"/>
    <w:basedOn w:val="DefaultParagraphFont"/>
    <w:uiPriority w:val="99"/>
    <w:semiHidden/>
    <w:unhideWhenUsed/>
    <w:rsid w:val="00547D14"/>
    <w:rPr>
      <w:color w:val="4472C4" w:themeColor="accent1"/>
      <w:u w:val="single"/>
    </w:rPr>
  </w:style>
  <w:style w:type="numbering" w:customStyle="1" w:styleId="Praeguneloend1">
    <w:name w:val="Praegune loend1"/>
    <w:uiPriority w:val="99"/>
    <w:rsid w:val="00547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4983</Words>
  <Characters>28904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Rei - RTK</dc:creator>
  <cp:keywords/>
  <dc:description/>
  <cp:lastModifiedBy>mso service</cp:lastModifiedBy>
  <cp:revision>2</cp:revision>
  <dcterms:created xsi:type="dcterms:W3CDTF">2026-05-15T11:51:00Z</dcterms:created>
  <dcterms:modified xsi:type="dcterms:W3CDTF">2026-05-15T11:51:00Z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{Asutus}</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vt:lpwstr>
  </property>
  <property fmtid="{D5CDD505-2E9C-101B-9397-08002B2CF9AE}" pid="13" name="delta_signerJobTitle">
    <vt:lpwstr>{ametinimetus}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reg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delta_recipientStreetHouse.1">
    <vt:lpwstr>{aadress}</vt:lpwstr>
  </property>
  <property fmtid="{D5CDD505-2E9C-101B-9397-08002B2CF9AE}" pid="40" name="delta_recipientPostalCity.1">
    <vt:lpwstr>{indeks linn}</vt:lpwstr>
  </property>
  <property fmtid="{D5CDD505-2E9C-101B-9397-08002B2CF9AE}" pid="41" name="delta_recipientId.1">
    <vt:lpwstr>{registrikood}</vt:lpwstr>
  </property>
  <property fmtid="{D5CDD505-2E9C-101B-9397-08002B2CF9AE}" pid="42" name="MSIP_Label_defa4170-0d19-0005-0004-bc88714345d2_Enabled">
    <vt:lpwstr>true</vt:lpwstr>
  </property>
  <property fmtid="{D5CDD505-2E9C-101B-9397-08002B2CF9AE}" pid="43" name="MSIP_Label_defa4170-0d19-0005-0004-bc88714345d2_SetDate">
    <vt:lpwstr>2025-10-22T12:17:43Z</vt:lpwstr>
  </property>
  <property fmtid="{D5CDD505-2E9C-101B-9397-08002B2CF9AE}" pid="44" name="MSIP_Label_defa4170-0d19-0005-0004-bc88714345d2_Method">
    <vt:lpwstr>Standard</vt:lpwstr>
  </property>
  <property fmtid="{D5CDD505-2E9C-101B-9397-08002B2CF9AE}" pid="45" name="MSIP_Label_defa4170-0d19-0005-0004-bc88714345d2_Name">
    <vt:lpwstr>defa4170-0d19-0005-0004-bc88714345d2</vt:lpwstr>
  </property>
  <property fmtid="{D5CDD505-2E9C-101B-9397-08002B2CF9AE}" pid="46" name="MSIP_Label_defa4170-0d19-0005-0004-bc88714345d2_SiteId">
    <vt:lpwstr>8fe098d2-428d-4bd4-9803-7195fe96f0e2</vt:lpwstr>
  </property>
  <property fmtid="{D5CDD505-2E9C-101B-9397-08002B2CF9AE}" pid="47" name="MSIP_Label_defa4170-0d19-0005-0004-bc88714345d2_ActionId">
    <vt:lpwstr>451efc83-3fb8-4827-a41c-33a6bc040826</vt:lpwstr>
  </property>
  <property fmtid="{D5CDD505-2E9C-101B-9397-08002B2CF9AE}" pid="48" name="MSIP_Label_defa4170-0d19-0005-0004-bc88714345d2_ContentBits">
    <vt:lpwstr>0</vt:lpwstr>
  </property>
  <property fmtid="{D5CDD505-2E9C-101B-9397-08002B2CF9AE}" pid="49" name="MSIP_Label_defa4170-0d19-0005-0004-bc88714345d2_Tag">
    <vt:lpwstr>10, 3, 0, 1</vt:lpwstr>
  </property>
</Properties>
</file>